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502" w:type="dxa"/>
        <w:tblBorders>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4806"/>
        <w:gridCol w:w="2208"/>
        <w:gridCol w:w="2196"/>
        <w:gridCol w:w="146"/>
        <w:gridCol w:w="146"/>
      </w:tblGrid>
      <w:tr w:rsidR="001E429C" w14:paraId="250ACB31" w14:textId="77777777">
        <w:trPr>
          <w:cantSplit/>
          <w:trHeight w:val="265"/>
        </w:trPr>
        <w:tc>
          <w:tcPr>
            <w:tcW w:w="4887" w:type="dxa"/>
            <w:tcBorders>
              <w:bottom w:val="single" w:sz="4" w:space="0" w:color="000001"/>
            </w:tcBorders>
            <w:shd w:val="clear" w:color="auto" w:fill="auto"/>
          </w:tcPr>
          <w:p w14:paraId="35990C42" w14:textId="6A6FF105" w:rsidR="001E429C" w:rsidRDefault="00FA53B0">
            <w:pPr>
              <w:rPr>
                <w:rFonts w:ascii="TheSansOffice" w:hAnsi="TheSansOffice"/>
              </w:rPr>
            </w:pPr>
            <w:r>
              <w:rPr>
                <w:rFonts w:ascii="TheSansOffice" w:hAnsi="TheSansOffice"/>
              </w:rPr>
              <w:t>fre</w:t>
            </w:r>
            <w:r w:rsidR="009E243C">
              <w:rPr>
                <w:rFonts w:ascii="TheSansOffice" w:hAnsi="TheSansOffice"/>
              </w:rPr>
              <w:t xml:space="preserve">ier </w:t>
            </w:r>
            <w:proofErr w:type="spellStart"/>
            <w:r w:rsidR="009E243C">
              <w:rPr>
                <w:rFonts w:ascii="TheSansOffice" w:hAnsi="TheSansOffice"/>
              </w:rPr>
              <w:t>zusammenschluss</w:t>
            </w:r>
            <w:proofErr w:type="spellEnd"/>
            <w:r w:rsidR="009E243C">
              <w:rPr>
                <w:rFonts w:ascii="TheSansOffice" w:hAnsi="TheSansOffice"/>
              </w:rPr>
              <w:t xml:space="preserve"> von </w:t>
            </w:r>
            <w:proofErr w:type="spellStart"/>
            <w:r w:rsidR="009E243C">
              <w:rPr>
                <w:rFonts w:ascii="TheSansOffice" w:hAnsi="TheSansOffice"/>
              </w:rPr>
              <w:t>student</w:t>
            </w:r>
            <w:proofErr w:type="spellEnd"/>
            <w:r w:rsidR="009E243C">
              <w:rPr>
                <w:rFonts w:ascii="TheSansOffice" w:hAnsi="TheSansOffice"/>
              </w:rPr>
              <w:t>*</w:t>
            </w:r>
            <w:proofErr w:type="spellStart"/>
            <w:r w:rsidR="009E243C">
              <w:rPr>
                <w:rFonts w:ascii="TheSansOffice" w:hAnsi="TheSansOffice"/>
              </w:rPr>
              <w:t>i</w:t>
            </w:r>
            <w:r>
              <w:rPr>
                <w:rFonts w:ascii="TheSansOffice" w:hAnsi="TheSansOffice"/>
              </w:rPr>
              <w:t>nnenschaften</w:t>
            </w:r>
            <w:proofErr w:type="spellEnd"/>
            <w:r>
              <w:rPr>
                <w:rFonts w:ascii="TheSansOffice" w:hAnsi="TheSansOffice"/>
              </w:rPr>
              <w:t xml:space="preserve"> (</w:t>
            </w:r>
            <w:proofErr w:type="spellStart"/>
            <w:r>
              <w:rPr>
                <w:rFonts w:ascii="TheSansOffice" w:hAnsi="TheSansOffice"/>
              </w:rPr>
              <w:t>fzs</w:t>
            </w:r>
            <w:proofErr w:type="spellEnd"/>
            <w:r>
              <w:rPr>
                <w:rFonts w:ascii="TheSansOffice" w:hAnsi="TheSansOffice"/>
              </w:rPr>
              <w:t>) e.V.</w:t>
            </w:r>
          </w:p>
        </w:tc>
        <w:tc>
          <w:tcPr>
            <w:tcW w:w="2232" w:type="dxa"/>
            <w:shd w:val="clear" w:color="auto" w:fill="auto"/>
          </w:tcPr>
          <w:p w14:paraId="4B782222" w14:textId="77777777" w:rsidR="001E429C" w:rsidRDefault="001E429C">
            <w:pPr>
              <w:rPr>
                <w:rFonts w:ascii="TheSansOffice" w:hAnsi="TheSansOffice"/>
                <w:sz w:val="16"/>
              </w:rPr>
            </w:pPr>
          </w:p>
          <w:p w14:paraId="5AC24A3E" w14:textId="77777777" w:rsidR="001E429C" w:rsidRDefault="00FA53B0">
            <w:pPr>
              <w:jc w:val="right"/>
              <w:rPr>
                <w:rFonts w:ascii="TheSansOffice" w:hAnsi="TheSansOffice"/>
                <w:sz w:val="16"/>
              </w:rPr>
            </w:pPr>
            <w:r>
              <w:rPr>
                <w:rFonts w:ascii="TheSansOffice" w:hAnsi="TheSansOffice"/>
                <w:sz w:val="16"/>
              </w:rPr>
              <w:t>Förderkennzeichen</w:t>
            </w:r>
          </w:p>
        </w:tc>
        <w:tc>
          <w:tcPr>
            <w:tcW w:w="2382"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AA708D5" w14:textId="72ADC5EC" w:rsidR="001E429C" w:rsidRDefault="00EF037B">
            <w:pPr>
              <w:pStyle w:val="berschrift2"/>
              <w:rPr>
                <w:rFonts w:ascii="TheSansOffice" w:hAnsi="TheSansOffice"/>
              </w:rPr>
            </w:pPr>
            <w:r>
              <w:rPr>
                <w:rFonts w:ascii="TheSansOffice" w:hAnsi="TheSansOffice"/>
              </w:rPr>
              <w:t>01PM101419</w:t>
            </w:r>
          </w:p>
        </w:tc>
      </w:tr>
      <w:tr w:rsidR="001E429C" w14:paraId="134BFC81" w14:textId="77777777">
        <w:trPr>
          <w:cantSplit/>
          <w:trHeight w:val="193"/>
        </w:trPr>
        <w:tc>
          <w:tcPr>
            <w:tcW w:w="4887" w:type="dxa"/>
            <w:shd w:val="clear" w:color="auto" w:fill="auto"/>
          </w:tcPr>
          <w:p w14:paraId="2A21DB49" w14:textId="77777777" w:rsidR="001E429C" w:rsidRDefault="00FA53B0">
            <w:pPr>
              <w:jc w:val="center"/>
              <w:rPr>
                <w:rFonts w:ascii="TheSansOffice" w:hAnsi="TheSansOffice"/>
                <w:sz w:val="16"/>
              </w:rPr>
            </w:pPr>
            <w:r>
              <w:rPr>
                <w:rFonts w:ascii="TheSansOffice" w:hAnsi="TheSansOffice"/>
                <w:sz w:val="16"/>
              </w:rPr>
              <w:t>Antragsteller</w:t>
            </w:r>
          </w:p>
        </w:tc>
        <w:tc>
          <w:tcPr>
            <w:tcW w:w="4464" w:type="dxa"/>
            <w:gridSpan w:val="2"/>
            <w:shd w:val="clear" w:color="auto" w:fill="auto"/>
          </w:tcPr>
          <w:p w14:paraId="6FE65A1B" w14:textId="77777777" w:rsidR="001E429C" w:rsidRDefault="001E429C">
            <w:pPr>
              <w:rPr>
                <w:rFonts w:ascii="TheSansOffice" w:hAnsi="TheSansOffice"/>
              </w:rPr>
            </w:pPr>
          </w:p>
        </w:tc>
        <w:tc>
          <w:tcPr>
            <w:tcW w:w="51" w:type="dxa"/>
            <w:shd w:val="clear" w:color="auto" w:fill="auto"/>
          </w:tcPr>
          <w:p w14:paraId="731BAECC" w14:textId="77777777" w:rsidR="001E429C" w:rsidRDefault="001E429C">
            <w:pPr>
              <w:rPr>
                <w:rFonts w:ascii="TheSansOffice" w:hAnsi="TheSansOffice"/>
                <w:sz w:val="16"/>
                <w:u w:val="single"/>
              </w:rPr>
            </w:pPr>
          </w:p>
        </w:tc>
        <w:tc>
          <w:tcPr>
            <w:tcW w:w="99" w:type="dxa"/>
            <w:shd w:val="clear" w:color="auto" w:fill="auto"/>
          </w:tcPr>
          <w:p w14:paraId="080DC505" w14:textId="77777777" w:rsidR="001E429C" w:rsidRDefault="001E429C">
            <w:pPr>
              <w:rPr>
                <w:rFonts w:ascii="TheSansOffice" w:hAnsi="TheSansOffice"/>
                <w:sz w:val="16"/>
                <w:u w:val="single"/>
              </w:rPr>
            </w:pPr>
          </w:p>
        </w:tc>
      </w:tr>
    </w:tbl>
    <w:p w14:paraId="6522905E" w14:textId="77777777" w:rsidR="001E429C" w:rsidRDefault="00FA53B0">
      <w:pPr>
        <w:jc w:val="right"/>
        <w:rPr>
          <w:rFonts w:ascii="TheSansOffice" w:hAnsi="TheSansOffice"/>
          <w:b/>
          <w:sz w:val="24"/>
        </w:rPr>
      </w:pPr>
      <w:r>
        <w:rPr>
          <w:rFonts w:ascii="TheSansOffice" w:hAnsi="TheSansOffice"/>
          <w:sz w:val="16"/>
          <w:u w:val="single"/>
        </w:rPr>
        <w:t>Vorhaben:</w:t>
      </w:r>
      <w:r>
        <w:rPr>
          <w:rFonts w:ascii="TheSansOffice" w:hAnsi="TheSansOffice"/>
        </w:rPr>
        <w:t xml:space="preserve"> </w:t>
      </w:r>
      <w:r>
        <w:rPr>
          <w:rFonts w:ascii="TheSansOffice" w:hAnsi="TheSansOffice"/>
          <w:b/>
          <w:sz w:val="24"/>
        </w:rPr>
        <w:t>Hochschulbezogene, zentrale Maßnahme</w:t>
      </w:r>
    </w:p>
    <w:p w14:paraId="7A094621" w14:textId="77777777" w:rsidR="001E429C" w:rsidRDefault="001E429C">
      <w:pPr>
        <w:rPr>
          <w:rFonts w:ascii="TheSansOffice" w:hAnsi="TheSansOffice"/>
        </w:rPr>
      </w:pPr>
    </w:p>
    <w:p w14:paraId="50D453FA" w14:textId="77777777" w:rsidR="001E429C" w:rsidRDefault="001E429C">
      <w:pPr>
        <w:pStyle w:val="Kopfzeile"/>
        <w:rPr>
          <w:rFonts w:ascii="TheSansOffice" w:hAnsi="TheSansOffice"/>
        </w:rPr>
      </w:pPr>
    </w:p>
    <w:p w14:paraId="7CA67E8D" w14:textId="77777777" w:rsidR="001E429C" w:rsidRDefault="00FA53B0">
      <w:pPr>
        <w:rPr>
          <w:rFonts w:ascii="TheSansOffice" w:hAnsi="TheSansOffice"/>
          <w:sz w:val="20"/>
        </w:rPr>
      </w:pPr>
      <w:r>
        <w:rPr>
          <w:rFonts w:ascii="TheSansOffice" w:hAnsi="TheSansOffice"/>
          <w:noProof/>
          <w:sz w:val="20"/>
          <w:lang w:eastAsia="de-DE"/>
        </w:rPr>
        <mc:AlternateContent>
          <mc:Choice Requires="wps">
            <w:drawing>
              <wp:anchor distT="0" distB="0" distL="89535" distR="89535" simplePos="0" relativeHeight="2" behindDoc="0" locked="0" layoutInCell="1" allowOverlap="1" wp14:anchorId="7D6F392B" wp14:editId="6B431A06">
                <wp:simplePos x="0" y="0"/>
                <wp:positionH relativeFrom="page">
                  <wp:posOffset>1219200</wp:posOffset>
                </wp:positionH>
                <wp:positionV relativeFrom="paragraph">
                  <wp:posOffset>52705</wp:posOffset>
                </wp:positionV>
                <wp:extent cx="5037455" cy="1996440"/>
                <wp:effectExtent l="0" t="0" r="17145" b="35560"/>
                <wp:wrapSquare wrapText="largest"/>
                <wp:docPr id="1" name="Text Box 2"/>
                <wp:cNvGraphicFramePr/>
                <a:graphic xmlns:a="http://schemas.openxmlformats.org/drawingml/2006/main">
                  <a:graphicData uri="http://schemas.microsoft.com/office/word/2010/wordprocessingShape">
                    <wps:wsp>
                      <wps:cNvSpPr/>
                      <wps:spPr>
                        <a:xfrm>
                          <a:off x="0" y="0"/>
                          <a:ext cx="5037455" cy="1996440"/>
                        </a:xfrm>
                        <a:prstGeom prst="rect">
                          <a:avLst/>
                        </a:prstGeom>
                        <a:noFill/>
                        <a:ln w="14039">
                          <a:solidFill>
                            <a:srgbClr val="000000"/>
                          </a:solidFill>
                          <a:miter/>
                        </a:ln>
                      </wps:spPr>
                      <wps:style>
                        <a:lnRef idx="0">
                          <a:scrgbClr r="0" g="0" b="0"/>
                        </a:lnRef>
                        <a:fillRef idx="0">
                          <a:scrgbClr r="0" g="0" b="0"/>
                        </a:fillRef>
                        <a:effectRef idx="0">
                          <a:scrgbClr r="0" g="0" b="0"/>
                        </a:effectRef>
                        <a:fontRef idx="minor"/>
                      </wps:style>
                      <wps:txbx>
                        <w:txbxContent>
                          <w:p w14:paraId="4ADF61E5" w14:textId="77777777" w:rsidR="001E429C" w:rsidRDefault="001E429C">
                            <w:pPr>
                              <w:pStyle w:val="Rahmeninhalt"/>
                              <w:rPr>
                                <w:rFonts w:ascii="TheSansOffice" w:hAnsi="TheSansOffice"/>
                                <w:sz w:val="16"/>
                              </w:rPr>
                            </w:pPr>
                          </w:p>
                          <w:p w14:paraId="76BB6541" w14:textId="5A59CC7C" w:rsidR="001E429C" w:rsidRPr="00B54D63" w:rsidRDefault="00FA53B0">
                            <w:pPr>
                              <w:pStyle w:val="Rahmeninhalt"/>
                              <w:rPr>
                                <w:rFonts w:ascii="TheSansOffice" w:hAnsi="TheSansOffice"/>
                                <w:i/>
                                <w:iCs/>
                              </w:rPr>
                            </w:pPr>
                            <w:r w:rsidRPr="00B54D63">
                              <w:rPr>
                                <w:rFonts w:ascii="TheSansOffice" w:hAnsi="TheSansOffice"/>
                                <w:i/>
                              </w:rPr>
                              <w:t>Thema</w:t>
                            </w:r>
                            <w:r w:rsidR="00607088">
                              <w:rPr>
                                <w:rFonts w:ascii="TheSansOffice" w:hAnsi="TheSansOffice"/>
                                <w:i/>
                              </w:rPr>
                              <w:t xml:space="preserve">: </w:t>
                            </w:r>
                            <w:r w:rsidR="0007597F">
                              <w:rPr>
                                <w:rFonts w:ascii="TheSansOffice" w:hAnsi="TheSansOffice"/>
                                <w:i/>
                              </w:rPr>
                              <w:t>Studentische Wohnungsnot und sozialer Wohnungsbau</w:t>
                            </w:r>
                          </w:p>
                          <w:p w14:paraId="0E28715E" w14:textId="77777777" w:rsidR="001E429C" w:rsidRDefault="001E429C">
                            <w:pPr>
                              <w:pStyle w:val="Rahmeninhalt"/>
                              <w:rPr>
                                <w:rFonts w:ascii="TheSansOffice" w:hAnsi="TheSansOffice"/>
                              </w:rPr>
                            </w:pPr>
                          </w:p>
                          <w:p w14:paraId="4091D547" w14:textId="13B5C19E" w:rsidR="001E429C" w:rsidRDefault="00FA53B0">
                            <w:pPr>
                              <w:pStyle w:val="Rahmeninhalt"/>
                              <w:rPr>
                                <w:rFonts w:ascii="TheSansOffice" w:hAnsi="TheSansOffice"/>
                                <w:iCs/>
                              </w:rPr>
                            </w:pPr>
                            <w:r>
                              <w:rPr>
                                <w:rFonts w:ascii="TheSansOffice" w:hAnsi="TheSansOffice"/>
                              </w:rPr>
                              <w:t>Art der Maßnahme:</w:t>
                            </w:r>
                            <w:r>
                              <w:rPr>
                                <w:rFonts w:ascii="TheSansOffice" w:hAnsi="TheSansOffice"/>
                              </w:rPr>
                              <w:tab/>
                            </w:r>
                            <w:r w:rsidR="00FC12F2">
                              <w:rPr>
                                <w:rFonts w:ascii="TheSansOffice" w:hAnsi="TheSansOffice"/>
                              </w:rPr>
                              <w:t>Wochenendseminar</w:t>
                            </w:r>
                          </w:p>
                          <w:p w14:paraId="35AFCC20" w14:textId="77777777" w:rsidR="001E429C" w:rsidRDefault="00FA53B0">
                            <w:pPr>
                              <w:pStyle w:val="Rahmeninhalt"/>
                              <w:rPr>
                                <w:rFonts w:ascii="TheSansOffice" w:hAnsi="TheSansOffice"/>
                              </w:rPr>
                            </w:pPr>
                            <w:r>
                              <w:rPr>
                                <w:rFonts w:ascii="TheSansOffice" w:hAnsi="TheSansOffice"/>
                                <w:iCs/>
                              </w:rPr>
                              <w:t>Ort:</w:t>
                            </w:r>
                            <w:r>
                              <w:rPr>
                                <w:rFonts w:ascii="TheSansOffice" w:hAnsi="TheSansOffice"/>
                                <w:iCs/>
                              </w:rPr>
                              <w:tab/>
                            </w:r>
                            <w:r>
                              <w:rPr>
                                <w:rFonts w:ascii="TheSansOffice" w:hAnsi="TheSansOffice"/>
                                <w:iCs/>
                              </w:rPr>
                              <w:tab/>
                            </w:r>
                            <w:r>
                              <w:rPr>
                                <w:rFonts w:ascii="TheSansOffice" w:hAnsi="TheSansOffice"/>
                                <w:i/>
                              </w:rPr>
                              <w:t>N.N.</w:t>
                            </w:r>
                          </w:p>
                          <w:p w14:paraId="3436BE78" w14:textId="12F376A5" w:rsidR="001E429C" w:rsidRPr="00370A61" w:rsidRDefault="00FA53B0">
                            <w:pPr>
                              <w:pStyle w:val="Rahmeninhalt"/>
                              <w:rPr>
                                <w:rFonts w:ascii="TheSansOffice" w:hAnsi="TheSansOffice"/>
                                <w:i/>
                                <w:iCs/>
                              </w:rPr>
                            </w:pPr>
                            <w:r>
                              <w:rPr>
                                <w:rFonts w:ascii="TheSansOffice" w:hAnsi="TheSansOffice"/>
                              </w:rPr>
                              <w:t xml:space="preserve">Zeitraum/Anzahl der Tage: </w:t>
                            </w:r>
                            <w:r w:rsidR="00DF17F8">
                              <w:rPr>
                                <w:rFonts w:ascii="TheSansOffice" w:hAnsi="TheSansOffice"/>
                              </w:rPr>
                              <w:t>Fr bis So/</w:t>
                            </w:r>
                            <w:r w:rsidR="0007597F">
                              <w:rPr>
                                <w:rFonts w:ascii="TheSansOffice" w:hAnsi="TheSansOffice"/>
                              </w:rPr>
                              <w:t>Dezember</w:t>
                            </w:r>
                            <w:r w:rsidR="00DF17F8">
                              <w:rPr>
                                <w:rFonts w:ascii="TheSansOffice" w:hAnsi="TheSansOffice"/>
                              </w:rPr>
                              <w:t xml:space="preserve"> 2019</w:t>
                            </w:r>
                            <w:r w:rsidR="00FC12F2">
                              <w:rPr>
                                <w:rFonts w:ascii="TheSansOffice" w:hAnsi="TheSansOffice"/>
                              </w:rPr>
                              <w:t>/2</w:t>
                            </w:r>
                          </w:p>
                          <w:p w14:paraId="3335C914" w14:textId="77777777" w:rsidR="001E429C" w:rsidRPr="00370A61" w:rsidRDefault="00FA53B0">
                            <w:pPr>
                              <w:pStyle w:val="Rahmeninhalt"/>
                              <w:tabs>
                                <w:tab w:val="left" w:pos="4253"/>
                              </w:tabs>
                              <w:rPr>
                                <w:rFonts w:ascii="TheSansOffice" w:hAnsi="TheSansOffice"/>
                              </w:rPr>
                            </w:pPr>
                            <w:r w:rsidRPr="00370A61">
                              <w:rPr>
                                <w:rFonts w:ascii="TheSansOffice" w:hAnsi="TheSansOffice"/>
                              </w:rPr>
                              <w:t xml:space="preserve">Anzahl der Teilnehmer*innen: </w:t>
                            </w:r>
                          </w:p>
                          <w:p w14:paraId="316FC2AF" w14:textId="74A5B7B3" w:rsidR="001E429C" w:rsidRPr="00370A61" w:rsidRDefault="0078438D">
                            <w:pPr>
                              <w:pStyle w:val="Rahmeninhalt"/>
                              <w:tabs>
                                <w:tab w:val="left" w:pos="4253"/>
                              </w:tabs>
                              <w:rPr>
                                <w:rFonts w:ascii="TheSansOffice" w:hAnsi="TheSansOffice"/>
                                <w:i/>
                                <w:iCs/>
                              </w:rPr>
                            </w:pPr>
                            <w:r>
                              <w:rPr>
                                <w:rFonts w:ascii="TheSansOffice" w:hAnsi="TheSansOffice"/>
                              </w:rPr>
                              <w:tab/>
                              <w:t>a) Student*innen</w:t>
                            </w:r>
                            <w:r>
                              <w:rPr>
                                <w:rFonts w:ascii="TheSansOffice" w:hAnsi="TheSansOffice"/>
                              </w:rPr>
                              <w:tab/>
                            </w:r>
                            <w:r w:rsidR="00EB3E01">
                              <w:rPr>
                                <w:rFonts w:ascii="TheSansOffice" w:hAnsi="TheSansOffice"/>
                              </w:rPr>
                              <w:t>25</w:t>
                            </w:r>
                            <w:r w:rsidR="00FA53B0" w:rsidRPr="00370A61">
                              <w:rPr>
                                <w:rFonts w:ascii="TheSansOffice" w:hAnsi="TheSansOffice"/>
                                <w:i/>
                                <w:iCs/>
                              </w:rPr>
                              <w:t xml:space="preserve"> </w:t>
                            </w:r>
                          </w:p>
                          <w:p w14:paraId="278C72D1" w14:textId="301D6E8D" w:rsidR="001E429C" w:rsidRPr="00B84903" w:rsidRDefault="00FA53B0">
                            <w:pPr>
                              <w:pStyle w:val="Rahmeninhalt"/>
                              <w:tabs>
                                <w:tab w:val="left" w:pos="4253"/>
                              </w:tabs>
                            </w:pPr>
                            <w:r w:rsidRPr="00370A61">
                              <w:rPr>
                                <w:rFonts w:ascii="TheSansOffice" w:hAnsi="TheSansOffice"/>
                              </w:rPr>
                              <w:tab/>
                              <w:t>b) Referent*innen</w:t>
                            </w:r>
                            <w:r w:rsidRPr="00370A61">
                              <w:rPr>
                                <w:rFonts w:ascii="TheSansOffice" w:hAnsi="TheSansOffice"/>
                              </w:rPr>
                              <w:tab/>
                            </w:r>
                            <w:r w:rsidR="0007597F">
                              <w:rPr>
                                <w:rFonts w:ascii="TheSansOffice" w:hAnsi="TheSansOffice"/>
                              </w:rPr>
                              <w:t>7</w:t>
                            </w:r>
                          </w:p>
                          <w:p w14:paraId="521D7B17" w14:textId="4CEC227A" w:rsidR="001E429C" w:rsidRPr="00370A61" w:rsidRDefault="00FA53B0">
                            <w:pPr>
                              <w:pStyle w:val="Rahmeninhalt"/>
                              <w:tabs>
                                <w:tab w:val="left" w:pos="4253"/>
                              </w:tabs>
                            </w:pPr>
                            <w:r w:rsidRPr="00370A61">
                              <w:rPr>
                                <w:rFonts w:ascii="TheSansOffice" w:hAnsi="TheSansOffice"/>
                              </w:rPr>
                              <w:tab/>
                              <w:t>c) andere</w:t>
                            </w:r>
                            <w:r w:rsidRPr="00370A61">
                              <w:rPr>
                                <w:rFonts w:ascii="TheSansOffice" w:hAnsi="TheSansOffice"/>
                              </w:rPr>
                              <w:tab/>
                            </w:r>
                          </w:p>
                        </w:txbxContent>
                      </wps:txbx>
                      <wps:bodyPr wrap="square" lIns="0" tIns="0" rIns="0" bIns="0">
                        <a:noAutofit/>
                      </wps:bodyPr>
                    </wps:wsp>
                  </a:graphicData>
                </a:graphic>
                <wp14:sizeRelV relativeFrom="margin">
                  <wp14:pctHeight>0</wp14:pctHeight>
                </wp14:sizeRelV>
              </wp:anchor>
            </w:drawing>
          </mc:Choice>
          <mc:Fallback>
            <w:pict>
              <v:rect id="Text Box 2" o:spid="_x0000_s1026" style="position:absolute;margin-left:96pt;margin-top:4.15pt;width:396.65pt;height:157.2pt;z-index:2;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" filled="f" strokeweight=".38997mm">
                <v:textbox inset="0,0,0,0">
                  <w:txbxContent>
                    <w:p w14:paraId="4ADF61E5" w14:textId="77777777" w:rsidR="001E429C" w:rsidRDefault="001E429C">
                      <w:pPr>
                        <w:pStyle w:val="Rahmeninhalt"/>
                        <w:rPr>
                          <w:rFonts w:ascii="TheSansOffice" w:hAnsi="TheSansOffice"/>
                          <w:sz w:val="16"/>
                        </w:rPr>
                      </w:pPr>
                    </w:p>
                    <w:p w14:paraId="76BB6541" w14:textId="5A59CC7C" w:rsidR="001E429C" w:rsidRPr="00B54D63" w:rsidRDefault="00FA53B0">
                      <w:pPr>
                        <w:pStyle w:val="Rahmeninhalt"/>
                        <w:rPr>
                          <w:rFonts w:ascii="TheSansOffice" w:hAnsi="TheSansOffice"/>
                          <w:i/>
                          <w:iCs/>
                        </w:rPr>
                      </w:pPr>
                      <w:r w:rsidRPr="00B54D63">
                        <w:rPr>
                          <w:rFonts w:ascii="TheSansOffice" w:hAnsi="TheSansOffice"/>
                          <w:i/>
                        </w:rPr>
                        <w:t>Thema</w:t>
                      </w:r>
                      <w:r w:rsidR="00607088">
                        <w:rPr>
                          <w:rFonts w:ascii="TheSansOffice" w:hAnsi="TheSansOffice"/>
                          <w:i/>
                        </w:rPr>
                        <w:t xml:space="preserve">: </w:t>
                      </w:r>
                      <w:r w:rsidR="0007597F">
                        <w:rPr>
                          <w:rFonts w:ascii="TheSansOffice" w:hAnsi="TheSansOffice"/>
                          <w:i/>
                        </w:rPr>
                        <w:t>Studentische Wohnungsnot und sozialer Wohnungsbau</w:t>
                      </w:r>
                    </w:p>
                    <w:p w14:paraId="0E28715E" w14:textId="77777777" w:rsidR="001E429C" w:rsidRDefault="001E429C">
                      <w:pPr>
                        <w:pStyle w:val="Rahmeninhalt"/>
                        <w:rPr>
                          <w:rFonts w:ascii="TheSansOffice" w:hAnsi="TheSansOffice"/>
                        </w:rPr>
                      </w:pPr>
                    </w:p>
                    <w:p w14:paraId="4091D547" w14:textId="13B5C19E" w:rsidR="001E429C" w:rsidRDefault="00FA53B0">
                      <w:pPr>
                        <w:pStyle w:val="Rahmeninhalt"/>
                        <w:rPr>
                          <w:rFonts w:ascii="TheSansOffice" w:hAnsi="TheSansOffice"/>
                          <w:iCs/>
                        </w:rPr>
                      </w:pPr>
                      <w:r>
                        <w:rPr>
                          <w:rFonts w:ascii="TheSansOffice" w:hAnsi="TheSansOffice"/>
                        </w:rPr>
                        <w:t>Art der Maßnahme:</w:t>
                      </w:r>
                      <w:r>
                        <w:rPr>
                          <w:rFonts w:ascii="TheSansOffice" w:hAnsi="TheSansOffice"/>
                        </w:rPr>
                        <w:tab/>
                      </w:r>
                      <w:r w:rsidR="00FC12F2">
                        <w:rPr>
                          <w:rFonts w:ascii="TheSansOffice" w:hAnsi="TheSansOffice"/>
                        </w:rPr>
                        <w:t>Wochenendseminar</w:t>
                      </w:r>
                    </w:p>
                    <w:p w14:paraId="35AFCC20" w14:textId="77777777" w:rsidR="001E429C" w:rsidRDefault="00FA53B0">
                      <w:pPr>
                        <w:pStyle w:val="Rahmeninhalt"/>
                        <w:rPr>
                          <w:rFonts w:ascii="TheSansOffice" w:hAnsi="TheSansOffice"/>
                        </w:rPr>
                      </w:pPr>
                      <w:r>
                        <w:rPr>
                          <w:rFonts w:ascii="TheSansOffice" w:hAnsi="TheSansOffice"/>
                          <w:iCs/>
                        </w:rPr>
                        <w:t>Ort:</w:t>
                      </w:r>
                      <w:r>
                        <w:rPr>
                          <w:rFonts w:ascii="TheSansOffice" w:hAnsi="TheSansOffice"/>
                          <w:iCs/>
                        </w:rPr>
                        <w:tab/>
                      </w:r>
                      <w:r>
                        <w:rPr>
                          <w:rFonts w:ascii="TheSansOffice" w:hAnsi="TheSansOffice"/>
                          <w:iCs/>
                        </w:rPr>
                        <w:tab/>
                      </w:r>
                      <w:r>
                        <w:rPr>
                          <w:rFonts w:ascii="TheSansOffice" w:hAnsi="TheSansOffice"/>
                          <w:i/>
                        </w:rPr>
                        <w:t>N.N.</w:t>
                      </w:r>
                    </w:p>
                    <w:p w14:paraId="3436BE78" w14:textId="12F376A5" w:rsidR="001E429C" w:rsidRPr="00370A61" w:rsidRDefault="00FA53B0">
                      <w:pPr>
                        <w:pStyle w:val="Rahmeninhalt"/>
                        <w:rPr>
                          <w:rFonts w:ascii="TheSansOffice" w:hAnsi="TheSansOffice"/>
                          <w:i/>
                          <w:iCs/>
                        </w:rPr>
                      </w:pPr>
                      <w:r>
                        <w:rPr>
                          <w:rFonts w:ascii="TheSansOffice" w:hAnsi="TheSansOffice"/>
                        </w:rPr>
                        <w:t xml:space="preserve">Zeitraum/Anzahl der Tage: </w:t>
                      </w:r>
                      <w:r w:rsidR="00DF17F8">
                        <w:rPr>
                          <w:rFonts w:ascii="TheSansOffice" w:hAnsi="TheSansOffice"/>
                        </w:rPr>
                        <w:t>Fr bis So/</w:t>
                      </w:r>
                      <w:r w:rsidR="0007597F">
                        <w:rPr>
                          <w:rFonts w:ascii="TheSansOffice" w:hAnsi="TheSansOffice"/>
                        </w:rPr>
                        <w:t>Dezember</w:t>
                      </w:r>
                      <w:r w:rsidR="00DF17F8">
                        <w:rPr>
                          <w:rFonts w:ascii="TheSansOffice" w:hAnsi="TheSansOffice"/>
                        </w:rPr>
                        <w:t xml:space="preserve"> 2019</w:t>
                      </w:r>
                      <w:r w:rsidR="00FC12F2">
                        <w:rPr>
                          <w:rFonts w:ascii="TheSansOffice" w:hAnsi="TheSansOffice"/>
                        </w:rPr>
                        <w:t>/2</w:t>
                      </w:r>
                    </w:p>
                    <w:p w14:paraId="3335C914" w14:textId="77777777" w:rsidR="001E429C" w:rsidRPr="00370A61" w:rsidRDefault="00FA53B0">
                      <w:pPr>
                        <w:pStyle w:val="Rahmeninhalt"/>
                        <w:tabs>
                          <w:tab w:val="left" w:pos="4253"/>
                        </w:tabs>
                        <w:rPr>
                          <w:rFonts w:ascii="TheSansOffice" w:hAnsi="TheSansOffice"/>
                        </w:rPr>
                      </w:pPr>
                      <w:r w:rsidRPr="00370A61">
                        <w:rPr>
                          <w:rFonts w:ascii="TheSansOffice" w:hAnsi="TheSansOffice"/>
                        </w:rPr>
                        <w:t xml:space="preserve">Anzahl der Teilnehmer*innen: </w:t>
                      </w:r>
                    </w:p>
                    <w:p w14:paraId="316FC2AF" w14:textId="74A5B7B3" w:rsidR="001E429C" w:rsidRPr="00370A61" w:rsidRDefault="0078438D">
                      <w:pPr>
                        <w:pStyle w:val="Rahmeninhalt"/>
                        <w:tabs>
                          <w:tab w:val="left" w:pos="4253"/>
                        </w:tabs>
                        <w:rPr>
                          <w:rFonts w:ascii="TheSansOffice" w:hAnsi="TheSansOffice"/>
                          <w:i/>
                          <w:iCs/>
                        </w:rPr>
                      </w:pPr>
                      <w:r>
                        <w:rPr>
                          <w:rFonts w:ascii="TheSansOffice" w:hAnsi="TheSansOffice"/>
                        </w:rPr>
                        <w:tab/>
                        <w:t>a) Student*innen</w:t>
                      </w:r>
                      <w:r>
                        <w:rPr>
                          <w:rFonts w:ascii="TheSansOffice" w:hAnsi="TheSansOffice"/>
                        </w:rPr>
                        <w:tab/>
                      </w:r>
                      <w:r w:rsidR="00EB3E01">
                        <w:rPr>
                          <w:rFonts w:ascii="TheSansOffice" w:hAnsi="TheSansOffice"/>
                        </w:rPr>
                        <w:t>25</w:t>
                      </w:r>
                      <w:r w:rsidR="00FA53B0" w:rsidRPr="00370A61">
                        <w:rPr>
                          <w:rFonts w:ascii="TheSansOffice" w:hAnsi="TheSansOffice"/>
                          <w:i/>
                          <w:iCs/>
                        </w:rPr>
                        <w:t xml:space="preserve"> </w:t>
                      </w:r>
                    </w:p>
                    <w:p w14:paraId="278C72D1" w14:textId="301D6E8D" w:rsidR="001E429C" w:rsidRPr="00B84903" w:rsidRDefault="00FA53B0">
                      <w:pPr>
                        <w:pStyle w:val="Rahmeninhalt"/>
                        <w:tabs>
                          <w:tab w:val="left" w:pos="4253"/>
                        </w:tabs>
                      </w:pPr>
                      <w:r w:rsidRPr="00370A61">
                        <w:rPr>
                          <w:rFonts w:ascii="TheSansOffice" w:hAnsi="TheSansOffice"/>
                        </w:rPr>
                        <w:tab/>
                        <w:t>b) Referent*innen</w:t>
                      </w:r>
                      <w:r w:rsidRPr="00370A61">
                        <w:rPr>
                          <w:rFonts w:ascii="TheSansOffice" w:hAnsi="TheSansOffice"/>
                        </w:rPr>
                        <w:tab/>
                      </w:r>
                      <w:r w:rsidR="0007597F">
                        <w:rPr>
                          <w:rFonts w:ascii="TheSansOffice" w:hAnsi="TheSansOffice"/>
                        </w:rPr>
                        <w:t>7</w:t>
                      </w:r>
                    </w:p>
                    <w:p w14:paraId="521D7B17" w14:textId="4CEC227A" w:rsidR="001E429C" w:rsidRPr="00370A61" w:rsidRDefault="00FA53B0">
                      <w:pPr>
                        <w:pStyle w:val="Rahmeninhalt"/>
                        <w:tabs>
                          <w:tab w:val="left" w:pos="4253"/>
                        </w:tabs>
                      </w:pPr>
                      <w:r w:rsidRPr="00370A61">
                        <w:rPr>
                          <w:rFonts w:ascii="TheSansOffice" w:hAnsi="TheSansOffice"/>
                        </w:rPr>
                        <w:tab/>
                        <w:t>c) andere</w:t>
                      </w:r>
                      <w:r w:rsidRPr="00370A61">
                        <w:rPr>
                          <w:rFonts w:ascii="TheSansOffice" w:hAnsi="TheSansOffice"/>
                        </w:rPr>
                        <w:tab/>
                      </w:r>
                    </w:p>
                  </w:txbxContent>
                </v:textbox>
                <w10:wrap type="square" side="largest" anchorx="page"/>
              </v:rect>
            </w:pict>
          </mc:Fallback>
        </mc:AlternateContent>
      </w:r>
    </w:p>
    <w:p w14:paraId="1A51D42C" w14:textId="77777777" w:rsidR="001E429C" w:rsidRDefault="001E429C">
      <w:pPr>
        <w:rPr>
          <w:rFonts w:ascii="TheSansOffice" w:hAnsi="TheSansOffice"/>
          <w:sz w:val="20"/>
        </w:rPr>
      </w:pPr>
    </w:p>
    <w:p w14:paraId="504553A8" w14:textId="77777777" w:rsidR="001E429C" w:rsidRDefault="001E429C">
      <w:pPr>
        <w:rPr>
          <w:rFonts w:ascii="TheSansOffice" w:hAnsi="TheSansOffice"/>
          <w:sz w:val="20"/>
        </w:rPr>
      </w:pPr>
    </w:p>
    <w:p w14:paraId="0EA72C4D" w14:textId="77777777" w:rsidR="001E429C" w:rsidRDefault="001E429C">
      <w:pPr>
        <w:rPr>
          <w:rFonts w:ascii="TheSansOffice" w:hAnsi="TheSansOffice"/>
          <w:sz w:val="20"/>
        </w:rPr>
      </w:pPr>
    </w:p>
    <w:p w14:paraId="3E5B3866" w14:textId="77777777" w:rsidR="001E429C" w:rsidRDefault="001E429C">
      <w:pPr>
        <w:rPr>
          <w:rFonts w:ascii="TheSansOffice" w:hAnsi="TheSansOffice"/>
          <w:sz w:val="20"/>
        </w:rPr>
      </w:pPr>
    </w:p>
    <w:p w14:paraId="4C8F8442" w14:textId="77777777" w:rsidR="001E429C" w:rsidRDefault="001E429C">
      <w:pPr>
        <w:rPr>
          <w:rFonts w:ascii="TheSansOffice" w:hAnsi="TheSansOffice"/>
          <w:sz w:val="20"/>
        </w:rPr>
      </w:pPr>
    </w:p>
    <w:p w14:paraId="38D1C4B3" w14:textId="77777777" w:rsidR="001E429C" w:rsidRDefault="001E429C">
      <w:pPr>
        <w:rPr>
          <w:rFonts w:ascii="TheSansOffice" w:hAnsi="TheSansOffice"/>
          <w:sz w:val="20"/>
        </w:rPr>
      </w:pPr>
    </w:p>
    <w:p w14:paraId="6273D001" w14:textId="77777777" w:rsidR="001E429C" w:rsidRDefault="001E429C">
      <w:pPr>
        <w:rPr>
          <w:rFonts w:ascii="TheSansOffice" w:hAnsi="TheSansOffice"/>
          <w:sz w:val="20"/>
        </w:rPr>
      </w:pPr>
    </w:p>
    <w:p w14:paraId="0FFFB36C" w14:textId="77777777" w:rsidR="001E429C" w:rsidRDefault="001E429C">
      <w:pPr>
        <w:rPr>
          <w:rFonts w:ascii="TheSansOffice" w:hAnsi="TheSansOffice"/>
          <w:sz w:val="20"/>
        </w:rPr>
      </w:pPr>
    </w:p>
    <w:p w14:paraId="5F92EFC7" w14:textId="77777777" w:rsidR="001E429C" w:rsidRDefault="001E429C">
      <w:pPr>
        <w:rPr>
          <w:rFonts w:ascii="TheSansOffice" w:hAnsi="TheSansOffice"/>
          <w:sz w:val="20"/>
        </w:rPr>
      </w:pPr>
    </w:p>
    <w:p w14:paraId="23059251" w14:textId="77777777" w:rsidR="001E429C" w:rsidRDefault="001E429C">
      <w:pPr>
        <w:rPr>
          <w:rFonts w:ascii="TheSansOffice" w:hAnsi="TheSansOffice"/>
          <w:sz w:val="20"/>
        </w:rPr>
      </w:pPr>
    </w:p>
    <w:p w14:paraId="27CAEBEB" w14:textId="77777777" w:rsidR="001E429C" w:rsidRDefault="001E429C">
      <w:pPr>
        <w:rPr>
          <w:rFonts w:ascii="TheSansOffice" w:hAnsi="TheSansOffice"/>
          <w:sz w:val="20"/>
        </w:rPr>
      </w:pPr>
    </w:p>
    <w:p w14:paraId="2EC95C95" w14:textId="77777777" w:rsidR="001E429C" w:rsidRDefault="001E429C">
      <w:pPr>
        <w:rPr>
          <w:rFonts w:ascii="TheSansOffice" w:hAnsi="TheSansOffice"/>
          <w:sz w:val="20"/>
        </w:rPr>
      </w:pPr>
    </w:p>
    <w:p w14:paraId="7DF17B2B" w14:textId="77777777" w:rsidR="001E429C" w:rsidRDefault="001E429C">
      <w:pPr>
        <w:rPr>
          <w:rFonts w:ascii="TheSansOffice" w:hAnsi="TheSansOffice"/>
          <w:sz w:val="20"/>
        </w:rPr>
      </w:pPr>
    </w:p>
    <w:p w14:paraId="340F25EB" w14:textId="77777777" w:rsidR="001E429C" w:rsidRDefault="001E429C">
      <w:pPr>
        <w:rPr>
          <w:rFonts w:ascii="TheSansOffice" w:hAnsi="TheSansOffice"/>
          <w:sz w:val="20"/>
        </w:rPr>
      </w:pPr>
    </w:p>
    <w:p w14:paraId="442E879B" w14:textId="77777777" w:rsidR="001E429C" w:rsidRDefault="00FA53B0">
      <w:pPr>
        <w:rPr>
          <w:rFonts w:ascii="TheSansOffice" w:hAnsi="TheSansOffice"/>
          <w:sz w:val="20"/>
        </w:rPr>
      </w:pPr>
      <w:r>
        <w:rPr>
          <w:rFonts w:ascii="TheSansOffice" w:hAnsi="TheSansOffice"/>
          <w:noProof/>
          <w:sz w:val="20"/>
          <w:lang w:eastAsia="de-DE"/>
        </w:rPr>
        <mc:AlternateContent>
          <mc:Choice Requires="wps">
            <w:drawing>
              <wp:anchor distT="0" distB="0" distL="114300" distR="114300" simplePos="0" relativeHeight="3" behindDoc="0" locked="0" layoutInCell="1" allowOverlap="1" wp14:anchorId="7487FD1A" wp14:editId="2005D252">
                <wp:simplePos x="0" y="0"/>
                <wp:positionH relativeFrom="column">
                  <wp:posOffset>862965</wp:posOffset>
                </wp:positionH>
                <wp:positionV relativeFrom="paragraph">
                  <wp:posOffset>41275</wp:posOffset>
                </wp:positionV>
                <wp:extent cx="3801110" cy="1334135"/>
                <wp:effectExtent l="5715" t="12700" r="13335" b="6350"/>
                <wp:wrapNone/>
                <wp:docPr id="3" name="Text Box 3"/>
                <wp:cNvGraphicFramePr/>
                <a:graphic xmlns:a="http://schemas.openxmlformats.org/drawingml/2006/main">
                  <a:graphicData uri="http://schemas.microsoft.com/office/word/2010/wordprocessingShape">
                    <wps:wsp>
                      <wps:cNvSpPr/>
                      <wps:spPr>
                        <a:xfrm>
                          <a:off x="0" y="0"/>
                          <a:ext cx="3800520" cy="1333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DF196B0" w14:textId="77777777" w:rsidR="001E429C" w:rsidRDefault="00FA53B0">
                            <w:pPr>
                              <w:pStyle w:val="berschrift1"/>
                              <w:rPr>
                                <w:rFonts w:ascii="TheSansOffice" w:hAnsi="TheSansOffice"/>
                              </w:rPr>
                            </w:pPr>
                            <w:r>
                              <w:rPr>
                                <w:rFonts w:ascii="TheSansOffice" w:hAnsi="TheSansOffice"/>
                              </w:rPr>
                              <w:t>Kalkulierte Ausgaben für die Einzelmaßnahme</w:t>
                            </w:r>
                          </w:p>
                          <w:p w14:paraId="182EC03F" w14:textId="77777777" w:rsidR="001E429C" w:rsidRDefault="001E429C">
                            <w:pPr>
                              <w:pStyle w:val="Rahmeninhalt"/>
                              <w:rPr>
                                <w:rFonts w:ascii="TheSansOffice" w:hAnsi="TheSansOffice"/>
                              </w:rPr>
                            </w:pPr>
                          </w:p>
                          <w:p w14:paraId="5491F05A" w14:textId="0EA65FE2" w:rsidR="001E429C" w:rsidRPr="00370A61" w:rsidRDefault="00FA53B0">
                            <w:pPr>
                              <w:pStyle w:val="Rahmeninhalt"/>
                              <w:rPr>
                                <w:rFonts w:ascii="TheSansOffice" w:hAnsi="TheSansOffice"/>
                              </w:rPr>
                            </w:pPr>
                            <w:r w:rsidRPr="00370A61">
                              <w:rPr>
                                <w:rFonts w:ascii="TheSansOffice" w:hAnsi="TheSansOffice"/>
                              </w:rPr>
                              <w:t>Zuwendungsfähige Gesamtausgaben:</w:t>
                            </w:r>
                            <w:r w:rsidRPr="00370A61">
                              <w:rPr>
                                <w:rFonts w:ascii="TheSansOffice" w:hAnsi="TheSansOffice"/>
                              </w:rPr>
                              <w:tab/>
                            </w:r>
                            <w:r w:rsidR="00BE0A99">
                              <w:rPr>
                                <w:rFonts w:ascii="TheSansOffice" w:hAnsi="TheSansOffice"/>
                              </w:rPr>
                              <w:t>5.196</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Pr="00370A61">
                              <w:rPr>
                                <w:rFonts w:ascii="TheSansOffice" w:hAnsi="TheSansOffice"/>
                              </w:rPr>
                              <w:t>€</w:t>
                            </w:r>
                          </w:p>
                          <w:p w14:paraId="7DBE80C3" w14:textId="1D1BEA96" w:rsidR="001E429C" w:rsidRPr="00370A61" w:rsidRDefault="00FA53B0">
                            <w:pPr>
                              <w:pStyle w:val="Rahmeninhalt"/>
                              <w:rPr>
                                <w:rFonts w:ascii="TheSansOffice" w:hAnsi="TheSansOffice"/>
                              </w:rPr>
                            </w:pPr>
                            <w:r w:rsidRPr="00370A61">
                              <w:rPr>
                                <w:rFonts w:ascii="TheSansOffice" w:hAnsi="TheSansOffice"/>
                              </w:rPr>
                              <w:t>Eigenmittel:</w:t>
                            </w:r>
                            <w:r w:rsidRPr="00370A61">
                              <w:rPr>
                                <w:rFonts w:ascii="TheSansOffice" w:hAnsi="TheSansOffice"/>
                              </w:rPr>
                              <w:tab/>
                            </w:r>
                            <w:r w:rsidRPr="00370A61">
                              <w:rPr>
                                <w:rFonts w:ascii="TheSansOffice" w:hAnsi="TheSansOffice"/>
                              </w:rPr>
                              <w:tab/>
                            </w:r>
                            <w:r w:rsidRPr="00370A61">
                              <w:rPr>
                                <w:rFonts w:ascii="TheSansOffice" w:hAnsi="TheSansOffice"/>
                              </w:rPr>
                              <w:tab/>
                            </w:r>
                            <w:r w:rsidRPr="00370A61">
                              <w:rPr>
                                <w:rFonts w:ascii="TheSansOffice" w:hAnsi="TheSansOffice"/>
                              </w:rPr>
                              <w:tab/>
                            </w:r>
                            <w:r w:rsidRPr="00370A61">
                              <w:rPr>
                                <w:rFonts w:ascii="TheSansOffice" w:hAnsi="TheSansOffice"/>
                              </w:rPr>
                              <w:tab/>
                            </w:r>
                            <w:r w:rsidR="00EF037B">
                              <w:rPr>
                                <w:rFonts w:ascii="TheSansOffice" w:hAnsi="TheSansOffice"/>
                              </w:rPr>
                              <w:t>2.</w:t>
                            </w:r>
                            <w:r w:rsidR="00BE0A99">
                              <w:rPr>
                                <w:rFonts w:ascii="TheSansOffice" w:hAnsi="TheSansOffice"/>
                              </w:rPr>
                              <w:t>386,</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Pr="00370A61">
                              <w:rPr>
                                <w:rFonts w:ascii="TheSansOffice" w:hAnsi="TheSansOffice"/>
                              </w:rPr>
                              <w:t>€</w:t>
                            </w:r>
                          </w:p>
                          <w:p w14:paraId="105EB167" w14:textId="7266B2FA" w:rsidR="001E429C" w:rsidRPr="00370A61" w:rsidRDefault="009610D4">
                            <w:pPr>
                              <w:pStyle w:val="Rahmeninhalt"/>
                              <w:rPr>
                                <w:rFonts w:ascii="TheSansOffice" w:hAnsi="TheSansOffice"/>
                              </w:rPr>
                            </w:pPr>
                            <w:r>
                              <w:rPr>
                                <w:rFonts w:ascii="TheSansOffice" w:hAnsi="TheSansOffice"/>
                              </w:rPr>
                              <w:t>Drittmittel:</w:t>
                            </w:r>
                            <w:r>
                              <w:rPr>
                                <w:rFonts w:ascii="TheSansOffice" w:hAnsi="TheSansOffice"/>
                              </w:rPr>
                              <w:tab/>
                            </w:r>
                            <w:r>
                              <w:rPr>
                                <w:rFonts w:ascii="TheSansOffice" w:hAnsi="TheSansOffice"/>
                              </w:rPr>
                              <w:tab/>
                            </w:r>
                            <w:r>
                              <w:rPr>
                                <w:rFonts w:ascii="TheSansOffice" w:hAnsi="TheSansOffice"/>
                              </w:rPr>
                              <w:tab/>
                            </w:r>
                            <w:r>
                              <w:rPr>
                                <w:rFonts w:ascii="TheSansOffice" w:hAnsi="TheSansOffice"/>
                              </w:rPr>
                              <w:tab/>
                            </w:r>
                            <w:r>
                              <w:rPr>
                                <w:rFonts w:ascii="TheSansOffice" w:hAnsi="TheSansOffice"/>
                              </w:rPr>
                              <w:tab/>
                            </w:r>
                            <w:r w:rsidR="00BE0A99">
                              <w:rPr>
                                <w:rFonts w:ascii="TheSansOffice" w:hAnsi="TheSansOffice"/>
                              </w:rPr>
                              <w:t xml:space="preserve">    860</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00FA53B0" w:rsidRPr="00370A61">
                              <w:rPr>
                                <w:rFonts w:ascii="TheSansOffice" w:hAnsi="TheSansOffice"/>
                              </w:rPr>
                              <w:t>€</w:t>
                            </w:r>
                          </w:p>
                          <w:p w14:paraId="1BC879F0" w14:textId="693E95C6" w:rsidR="001E429C" w:rsidRPr="00370A61" w:rsidRDefault="009610D4">
                            <w:pPr>
                              <w:pStyle w:val="Rahmeninhalt"/>
                            </w:pPr>
                            <w:r>
                              <w:rPr>
                                <w:rFonts w:ascii="TheSansOffice" w:hAnsi="TheSansOffice"/>
                              </w:rPr>
                              <w:t>Beantragte Zuwendung:</w:t>
                            </w:r>
                            <w:r>
                              <w:rPr>
                                <w:rFonts w:ascii="TheSansOffice" w:hAnsi="TheSansOffice"/>
                              </w:rPr>
                              <w:tab/>
                            </w:r>
                            <w:r>
                              <w:rPr>
                                <w:rFonts w:ascii="TheSansOffice" w:hAnsi="TheSansOffice"/>
                              </w:rPr>
                              <w:tab/>
                            </w:r>
                            <w:r>
                              <w:rPr>
                                <w:rFonts w:ascii="TheSansOffice" w:hAnsi="TheSansOffice"/>
                              </w:rPr>
                              <w:tab/>
                            </w:r>
                            <w:r w:rsidR="002C5FB2">
                              <w:rPr>
                                <w:rFonts w:ascii="TheSansOffice" w:hAnsi="TheSansOffice"/>
                              </w:rPr>
                              <w:t>2</w:t>
                            </w:r>
                            <w:r w:rsidR="00EF037B">
                              <w:rPr>
                                <w:rFonts w:ascii="TheSansOffice" w:hAnsi="TheSansOffice"/>
                              </w:rPr>
                              <w:t>.</w:t>
                            </w:r>
                            <w:r w:rsidR="00BE0A99">
                              <w:rPr>
                                <w:rFonts w:ascii="TheSansOffice" w:hAnsi="TheSansOffice"/>
                              </w:rPr>
                              <w:t>0</w:t>
                            </w:r>
                            <w:r w:rsidR="002C5FB2">
                              <w:rPr>
                                <w:rFonts w:ascii="TheSansOffice" w:hAnsi="TheSansOffice"/>
                              </w:rPr>
                              <w:t>0</w:t>
                            </w:r>
                            <w:r w:rsidR="00E7602E">
                              <w:rPr>
                                <w:rFonts w:ascii="TheSansOffice" w:hAnsi="TheSansOffice"/>
                              </w:rPr>
                              <w:t>0,0</w:t>
                            </w:r>
                            <w:r w:rsidR="00BE2431">
                              <w:rPr>
                                <w:rFonts w:ascii="TheSansOffice" w:hAnsi="TheSansOffice"/>
                              </w:rPr>
                              <w:t>0</w:t>
                            </w:r>
                            <w:r w:rsidR="002C5FB2">
                              <w:rPr>
                                <w:rFonts w:ascii="TheSansOffice" w:hAnsi="TheSansOffice"/>
                              </w:rPr>
                              <w:t xml:space="preserve"> </w:t>
                            </w:r>
                            <w:r w:rsidR="00FA53B0" w:rsidRPr="00370A61">
                              <w:rPr>
                                <w:rFonts w:ascii="TheSansOffice" w:hAnsi="TheSansOffice"/>
                              </w:rPr>
                              <w:t>€</w:t>
                            </w:r>
                          </w:p>
                        </w:txbxContent>
                      </wps:txbx>
                      <wps:bodyPr>
                        <a:noAutofit/>
                      </wps:bodyPr>
                    </wps:wsp>
                  </a:graphicData>
                </a:graphic>
              </wp:anchor>
            </w:drawing>
          </mc:Choice>
          <mc:Fallback>
            <w:pict>
              <v:rect id="Text Box 3" o:spid="_x0000_s1027" style="position:absolute;margin-left:67.95pt;margin-top:3.25pt;width:299.3pt;height:105.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" strokeweight=".26mm">
                <v:textbox>
                  <w:txbxContent>
                    <w:p w14:paraId="5DF196B0" w14:textId="77777777" w:rsidR="001E429C" w:rsidRDefault="00FA53B0">
                      <w:pPr>
                        <w:pStyle w:val="berschrift1"/>
                        <w:rPr>
                          <w:rFonts w:ascii="TheSansOffice" w:hAnsi="TheSansOffice"/>
                        </w:rPr>
                      </w:pPr>
                      <w:r>
                        <w:rPr>
                          <w:rFonts w:ascii="TheSansOffice" w:hAnsi="TheSansOffice"/>
                        </w:rPr>
                        <w:t>Kalkulierte Ausgaben für die Einzelmaßnahme</w:t>
                      </w:r>
                    </w:p>
                    <w:p w14:paraId="182EC03F" w14:textId="77777777" w:rsidR="001E429C" w:rsidRDefault="001E429C">
                      <w:pPr>
                        <w:pStyle w:val="Rahmeninhalt"/>
                        <w:rPr>
                          <w:rFonts w:ascii="TheSansOffice" w:hAnsi="TheSansOffice"/>
                        </w:rPr>
                      </w:pPr>
                    </w:p>
                    <w:p w14:paraId="5491F05A" w14:textId="0EA65FE2" w:rsidR="001E429C" w:rsidRPr="00370A61" w:rsidRDefault="00FA53B0">
                      <w:pPr>
                        <w:pStyle w:val="Rahmeninhalt"/>
                        <w:rPr>
                          <w:rFonts w:ascii="TheSansOffice" w:hAnsi="TheSansOffice"/>
                        </w:rPr>
                      </w:pPr>
                      <w:r w:rsidRPr="00370A61">
                        <w:rPr>
                          <w:rFonts w:ascii="TheSansOffice" w:hAnsi="TheSansOffice"/>
                        </w:rPr>
                        <w:t>Zuwendungsfähige Gesamtausgaben:</w:t>
                      </w:r>
                      <w:r w:rsidRPr="00370A61">
                        <w:rPr>
                          <w:rFonts w:ascii="TheSansOffice" w:hAnsi="TheSansOffice"/>
                        </w:rPr>
                        <w:tab/>
                      </w:r>
                      <w:r w:rsidR="00BE0A99">
                        <w:rPr>
                          <w:rFonts w:ascii="TheSansOffice" w:hAnsi="TheSansOffice"/>
                        </w:rPr>
                        <w:t>5.196</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Pr="00370A61">
                        <w:rPr>
                          <w:rFonts w:ascii="TheSansOffice" w:hAnsi="TheSansOffice"/>
                        </w:rPr>
                        <w:t>€</w:t>
                      </w:r>
                    </w:p>
                    <w:p w14:paraId="7DBE80C3" w14:textId="1D1BEA96" w:rsidR="001E429C" w:rsidRPr="00370A61" w:rsidRDefault="00FA53B0">
                      <w:pPr>
                        <w:pStyle w:val="Rahmeninhalt"/>
                        <w:rPr>
                          <w:rFonts w:ascii="TheSansOffice" w:hAnsi="TheSansOffice"/>
                        </w:rPr>
                      </w:pPr>
                      <w:r w:rsidRPr="00370A61">
                        <w:rPr>
                          <w:rFonts w:ascii="TheSansOffice" w:hAnsi="TheSansOffice"/>
                        </w:rPr>
                        <w:t>Eigenmittel:</w:t>
                      </w:r>
                      <w:r w:rsidRPr="00370A61">
                        <w:rPr>
                          <w:rFonts w:ascii="TheSansOffice" w:hAnsi="TheSansOffice"/>
                        </w:rPr>
                        <w:tab/>
                      </w:r>
                      <w:r w:rsidRPr="00370A61">
                        <w:rPr>
                          <w:rFonts w:ascii="TheSansOffice" w:hAnsi="TheSansOffice"/>
                        </w:rPr>
                        <w:tab/>
                      </w:r>
                      <w:r w:rsidRPr="00370A61">
                        <w:rPr>
                          <w:rFonts w:ascii="TheSansOffice" w:hAnsi="TheSansOffice"/>
                        </w:rPr>
                        <w:tab/>
                      </w:r>
                      <w:r w:rsidRPr="00370A61">
                        <w:rPr>
                          <w:rFonts w:ascii="TheSansOffice" w:hAnsi="TheSansOffice"/>
                        </w:rPr>
                        <w:tab/>
                      </w:r>
                      <w:r w:rsidRPr="00370A61">
                        <w:rPr>
                          <w:rFonts w:ascii="TheSansOffice" w:hAnsi="TheSansOffice"/>
                        </w:rPr>
                        <w:tab/>
                      </w:r>
                      <w:r w:rsidR="00EF037B">
                        <w:rPr>
                          <w:rFonts w:ascii="TheSansOffice" w:hAnsi="TheSansOffice"/>
                        </w:rPr>
                        <w:t>2.</w:t>
                      </w:r>
                      <w:r w:rsidR="00BE0A99">
                        <w:rPr>
                          <w:rFonts w:ascii="TheSansOffice" w:hAnsi="TheSansOffice"/>
                        </w:rPr>
                        <w:t>386,</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Pr="00370A61">
                        <w:rPr>
                          <w:rFonts w:ascii="TheSansOffice" w:hAnsi="TheSansOffice"/>
                        </w:rPr>
                        <w:t>€</w:t>
                      </w:r>
                    </w:p>
                    <w:p w14:paraId="105EB167" w14:textId="7266B2FA" w:rsidR="001E429C" w:rsidRPr="00370A61" w:rsidRDefault="009610D4">
                      <w:pPr>
                        <w:pStyle w:val="Rahmeninhalt"/>
                        <w:rPr>
                          <w:rFonts w:ascii="TheSansOffice" w:hAnsi="TheSansOffice"/>
                        </w:rPr>
                      </w:pPr>
                      <w:r>
                        <w:rPr>
                          <w:rFonts w:ascii="TheSansOffice" w:hAnsi="TheSansOffice"/>
                        </w:rPr>
                        <w:t>Drittmittel:</w:t>
                      </w:r>
                      <w:r>
                        <w:rPr>
                          <w:rFonts w:ascii="TheSansOffice" w:hAnsi="TheSansOffice"/>
                        </w:rPr>
                        <w:tab/>
                      </w:r>
                      <w:r>
                        <w:rPr>
                          <w:rFonts w:ascii="TheSansOffice" w:hAnsi="TheSansOffice"/>
                        </w:rPr>
                        <w:tab/>
                      </w:r>
                      <w:r>
                        <w:rPr>
                          <w:rFonts w:ascii="TheSansOffice" w:hAnsi="TheSansOffice"/>
                        </w:rPr>
                        <w:tab/>
                      </w:r>
                      <w:r>
                        <w:rPr>
                          <w:rFonts w:ascii="TheSansOffice" w:hAnsi="TheSansOffice"/>
                        </w:rPr>
                        <w:tab/>
                      </w:r>
                      <w:r>
                        <w:rPr>
                          <w:rFonts w:ascii="TheSansOffice" w:hAnsi="TheSansOffice"/>
                        </w:rPr>
                        <w:tab/>
                      </w:r>
                      <w:r w:rsidR="00BE0A99">
                        <w:rPr>
                          <w:rFonts w:ascii="TheSansOffice" w:hAnsi="TheSansOffice"/>
                        </w:rPr>
                        <w:t xml:space="preserve">    860</w:t>
                      </w:r>
                      <w:r w:rsidR="00E7602E">
                        <w:rPr>
                          <w:rFonts w:ascii="TheSansOffice" w:hAnsi="TheSansOffice"/>
                        </w:rPr>
                        <w:t>,0</w:t>
                      </w:r>
                      <w:r w:rsidR="00026990">
                        <w:rPr>
                          <w:rFonts w:ascii="TheSansOffice" w:hAnsi="TheSansOffice"/>
                        </w:rPr>
                        <w:t>0</w:t>
                      </w:r>
                      <w:r w:rsidR="002C5FB2">
                        <w:rPr>
                          <w:rFonts w:ascii="TheSansOffice" w:hAnsi="TheSansOffice"/>
                        </w:rPr>
                        <w:t xml:space="preserve"> </w:t>
                      </w:r>
                      <w:r w:rsidR="00FA53B0" w:rsidRPr="00370A61">
                        <w:rPr>
                          <w:rFonts w:ascii="TheSansOffice" w:hAnsi="TheSansOffice"/>
                        </w:rPr>
                        <w:t>€</w:t>
                      </w:r>
                    </w:p>
                    <w:p w14:paraId="1BC879F0" w14:textId="693E95C6" w:rsidR="001E429C" w:rsidRPr="00370A61" w:rsidRDefault="009610D4">
                      <w:pPr>
                        <w:pStyle w:val="Rahmeninhalt"/>
                      </w:pPr>
                      <w:r>
                        <w:rPr>
                          <w:rFonts w:ascii="TheSansOffice" w:hAnsi="TheSansOffice"/>
                        </w:rPr>
                        <w:t>Beantragte Zuwendung:</w:t>
                      </w:r>
                      <w:r>
                        <w:rPr>
                          <w:rFonts w:ascii="TheSansOffice" w:hAnsi="TheSansOffice"/>
                        </w:rPr>
                        <w:tab/>
                      </w:r>
                      <w:r>
                        <w:rPr>
                          <w:rFonts w:ascii="TheSansOffice" w:hAnsi="TheSansOffice"/>
                        </w:rPr>
                        <w:tab/>
                      </w:r>
                      <w:r>
                        <w:rPr>
                          <w:rFonts w:ascii="TheSansOffice" w:hAnsi="TheSansOffice"/>
                        </w:rPr>
                        <w:tab/>
                      </w:r>
                      <w:r w:rsidR="002C5FB2">
                        <w:rPr>
                          <w:rFonts w:ascii="TheSansOffice" w:hAnsi="TheSansOffice"/>
                        </w:rPr>
                        <w:t>2</w:t>
                      </w:r>
                      <w:r w:rsidR="00EF037B">
                        <w:rPr>
                          <w:rFonts w:ascii="TheSansOffice" w:hAnsi="TheSansOffice"/>
                        </w:rPr>
                        <w:t>.</w:t>
                      </w:r>
                      <w:r w:rsidR="00BE0A99">
                        <w:rPr>
                          <w:rFonts w:ascii="TheSansOffice" w:hAnsi="TheSansOffice"/>
                        </w:rPr>
                        <w:t>0</w:t>
                      </w:r>
                      <w:r w:rsidR="002C5FB2">
                        <w:rPr>
                          <w:rFonts w:ascii="TheSansOffice" w:hAnsi="TheSansOffice"/>
                        </w:rPr>
                        <w:t>0</w:t>
                      </w:r>
                      <w:r w:rsidR="00E7602E">
                        <w:rPr>
                          <w:rFonts w:ascii="TheSansOffice" w:hAnsi="TheSansOffice"/>
                        </w:rPr>
                        <w:t>0,0</w:t>
                      </w:r>
                      <w:r w:rsidR="00BE2431">
                        <w:rPr>
                          <w:rFonts w:ascii="TheSansOffice" w:hAnsi="TheSansOffice"/>
                        </w:rPr>
                        <w:t>0</w:t>
                      </w:r>
                      <w:r w:rsidR="002C5FB2">
                        <w:rPr>
                          <w:rFonts w:ascii="TheSansOffice" w:hAnsi="TheSansOffice"/>
                        </w:rPr>
                        <w:t xml:space="preserve"> </w:t>
                      </w:r>
                      <w:r w:rsidR="00FA53B0" w:rsidRPr="00370A61">
                        <w:rPr>
                          <w:rFonts w:ascii="TheSansOffice" w:hAnsi="TheSansOffice"/>
                        </w:rPr>
                        <w:t>€</w:t>
                      </w:r>
                    </w:p>
                  </w:txbxContent>
                </v:textbox>
              </v:rect>
            </w:pict>
          </mc:Fallback>
        </mc:AlternateContent>
      </w:r>
    </w:p>
    <w:p w14:paraId="481519FA" w14:textId="77777777" w:rsidR="001E429C" w:rsidRDefault="001E429C">
      <w:pPr>
        <w:rPr>
          <w:rFonts w:ascii="TheSansOffice" w:hAnsi="TheSansOffice"/>
          <w:sz w:val="20"/>
        </w:rPr>
      </w:pPr>
    </w:p>
    <w:p w14:paraId="6C926F66" w14:textId="77777777" w:rsidR="001E429C" w:rsidRDefault="001E429C">
      <w:pPr>
        <w:rPr>
          <w:rFonts w:ascii="TheSansOffice" w:hAnsi="TheSansOffice"/>
          <w:sz w:val="20"/>
        </w:rPr>
      </w:pPr>
    </w:p>
    <w:p w14:paraId="48C88541" w14:textId="77777777" w:rsidR="001E429C" w:rsidRDefault="001E429C">
      <w:pPr>
        <w:rPr>
          <w:rFonts w:ascii="TheSansOffice" w:hAnsi="TheSansOffice"/>
          <w:sz w:val="20"/>
        </w:rPr>
      </w:pPr>
    </w:p>
    <w:p w14:paraId="4FACE95A" w14:textId="77777777" w:rsidR="001E429C" w:rsidRDefault="001E429C">
      <w:pPr>
        <w:rPr>
          <w:rFonts w:ascii="TheSansOffice" w:hAnsi="TheSansOffice"/>
          <w:sz w:val="20"/>
        </w:rPr>
      </w:pPr>
    </w:p>
    <w:p w14:paraId="3780FA43" w14:textId="77777777" w:rsidR="001E429C" w:rsidRDefault="001E429C">
      <w:pPr>
        <w:rPr>
          <w:rFonts w:ascii="TheSansOffice" w:hAnsi="TheSansOffice"/>
          <w:sz w:val="20"/>
        </w:rPr>
      </w:pPr>
    </w:p>
    <w:p w14:paraId="6A0DAAA3" w14:textId="77777777" w:rsidR="001E429C" w:rsidRDefault="001E429C">
      <w:pPr>
        <w:rPr>
          <w:rFonts w:ascii="TheSansOffice" w:hAnsi="TheSansOffice"/>
          <w:sz w:val="20"/>
        </w:rPr>
      </w:pPr>
    </w:p>
    <w:p w14:paraId="2958284D" w14:textId="77777777" w:rsidR="001E429C" w:rsidRDefault="001E429C">
      <w:pPr>
        <w:rPr>
          <w:rFonts w:ascii="TheSansOffice" w:hAnsi="TheSansOffice"/>
          <w:sz w:val="20"/>
        </w:rPr>
      </w:pPr>
    </w:p>
    <w:p w14:paraId="360ED9D4" w14:textId="77777777" w:rsidR="001E429C" w:rsidRDefault="001E429C">
      <w:pPr>
        <w:rPr>
          <w:rFonts w:ascii="TheSansOffice" w:hAnsi="TheSansOffice"/>
          <w:sz w:val="20"/>
        </w:rPr>
      </w:pPr>
    </w:p>
    <w:p w14:paraId="72C77B45" w14:textId="77777777" w:rsidR="001E429C" w:rsidRDefault="001E429C">
      <w:pPr>
        <w:rPr>
          <w:rFonts w:ascii="TheSansOffice" w:hAnsi="TheSansOffice"/>
          <w:sz w:val="20"/>
        </w:rPr>
      </w:pPr>
    </w:p>
    <w:p w14:paraId="69D0FD6D" w14:textId="77777777" w:rsidR="001E429C" w:rsidRDefault="001E429C">
      <w:pPr>
        <w:rPr>
          <w:rFonts w:ascii="TheSansOffice" w:hAnsi="TheSansOffice"/>
          <w:sz w:val="20"/>
        </w:rPr>
      </w:pPr>
    </w:p>
    <w:p w14:paraId="11972614" w14:textId="77777777" w:rsidR="001E429C" w:rsidRDefault="00FA53B0">
      <w:pPr>
        <w:rPr>
          <w:rFonts w:ascii="TheSansOffice" w:hAnsi="TheSansOffice"/>
          <w:sz w:val="20"/>
        </w:rPr>
      </w:pPr>
      <w:r>
        <w:rPr>
          <w:rFonts w:ascii="TheSansOffice" w:hAnsi="TheSansOffice"/>
          <w:sz w:val="20"/>
        </w:rPr>
        <w:t>Beschreibung der Maßnahme entsprechend der Gliederung in den Hinweisen zu AZA 5.</w:t>
      </w:r>
    </w:p>
    <w:p w14:paraId="6E9C7AD2" w14:textId="77777777" w:rsidR="001E429C" w:rsidRDefault="001E429C">
      <w:pPr>
        <w:rPr>
          <w:rFonts w:ascii="TheSansOffice" w:hAnsi="TheSansOffice"/>
        </w:rPr>
      </w:pPr>
    </w:p>
    <w:p w14:paraId="524EB2B0" w14:textId="77777777" w:rsidR="00180AC9" w:rsidRPr="00850F3E" w:rsidRDefault="00180AC9" w:rsidP="00180AC9">
      <w:pPr>
        <w:pStyle w:val="Listenabsatz"/>
        <w:numPr>
          <w:ilvl w:val="0"/>
          <w:numId w:val="2"/>
        </w:numPr>
        <w:rPr>
          <w:rFonts w:ascii="TheSansOffice" w:hAnsi="TheSansOffice"/>
          <w:b/>
        </w:rPr>
      </w:pPr>
      <w:r w:rsidRPr="00850F3E">
        <w:rPr>
          <w:rFonts w:ascii="TheSansOffice" w:hAnsi="TheSansOffice"/>
          <w:b/>
        </w:rPr>
        <w:t>Begründung der Maßnahme</w:t>
      </w:r>
      <w:bookmarkStart w:id="0" w:name="_GoBack"/>
      <w:bookmarkEnd w:id="0"/>
    </w:p>
    <w:p w14:paraId="3029F8CC" w14:textId="77777777" w:rsidR="00180AC9" w:rsidRPr="00850F3E" w:rsidRDefault="00180AC9" w:rsidP="00180AC9">
      <w:pPr>
        <w:pStyle w:val="Listenabsatz"/>
        <w:numPr>
          <w:ilvl w:val="1"/>
          <w:numId w:val="2"/>
        </w:numPr>
        <w:rPr>
          <w:rFonts w:ascii="TheSansOffice" w:hAnsi="TheSansOffice"/>
          <w:b/>
        </w:rPr>
      </w:pPr>
      <w:r w:rsidRPr="00850F3E">
        <w:rPr>
          <w:rFonts w:ascii="TheSansOffice" w:hAnsi="TheSansOffice"/>
          <w:b/>
        </w:rPr>
        <w:t>Themenbereich, Zielsetzung, erwartete Ergebnisse, Arbeitsmethoden der Maßnahme</w:t>
      </w:r>
    </w:p>
    <w:p w14:paraId="2E36D415" w14:textId="24F9D885" w:rsidR="00330520" w:rsidRPr="00330520" w:rsidRDefault="00330520" w:rsidP="00330520">
      <w:pPr>
        <w:ind w:left="737"/>
        <w:contextualSpacing/>
        <w:rPr>
          <w:rFonts w:ascii="TheSansOffice" w:hAnsi="TheSansOffice"/>
          <w:b/>
          <w:sz w:val="24"/>
          <w:szCs w:val="24"/>
        </w:rPr>
      </w:pPr>
      <w:r w:rsidRPr="00330520">
        <w:rPr>
          <w:rFonts w:ascii="TheSansOffice" w:eastAsia="Calibri" w:hAnsi="TheSansOffice"/>
          <w:sz w:val="24"/>
          <w:szCs w:val="24"/>
        </w:rPr>
        <w:t xml:space="preserve">Wohnraummangel ist seit Jahren ein </w:t>
      </w:r>
      <w:r>
        <w:rPr>
          <w:rFonts w:ascii="TheSansOffice" w:eastAsia="Calibri" w:hAnsi="TheSansOffice"/>
          <w:sz w:val="24"/>
          <w:szCs w:val="24"/>
        </w:rPr>
        <w:t>wachsendes</w:t>
      </w:r>
      <w:r w:rsidRPr="00330520">
        <w:rPr>
          <w:rFonts w:ascii="TheSansOffice" w:eastAsia="Calibri" w:hAnsi="TheSansOffice"/>
          <w:sz w:val="24"/>
          <w:szCs w:val="24"/>
        </w:rPr>
        <w:t xml:space="preserve"> Problem. Insbesondere in Städten, in denen viele Student*innen leben, ist die Situation prekär – trotz Mietpreisbremse und Neubauprogrammen. Viele Student*innen sind zu Beginn ihres Studium</w:t>
      </w:r>
      <w:r>
        <w:rPr>
          <w:rFonts w:ascii="TheSansOffice" w:eastAsia="Calibri" w:hAnsi="TheSansOffice"/>
          <w:sz w:val="24"/>
          <w:szCs w:val="24"/>
        </w:rPr>
        <w:t>s</w:t>
      </w:r>
      <w:r w:rsidRPr="00330520">
        <w:rPr>
          <w:rFonts w:ascii="TheSansOffice" w:eastAsia="Calibri" w:hAnsi="TheSansOffice"/>
          <w:sz w:val="24"/>
          <w:szCs w:val="24"/>
        </w:rPr>
        <w:t xml:space="preserve"> auf provisorische Notlösungen angewiesen, für einige ist der fehlende Wohnraum auch Grund, das Studium nach den ersten Monaten wieder abzubrechen. Gleichzeitig sorgt die Vielzahl an Student*innen für eine Verschiebung auf dem Wohnungsmarkt, der besonders sozial und ökonomisch benachteiligte Gruppe und junge Familien betrifft. Das Seminar soll einerseits konkrete Mechanismen des Wohnungsmarkt</w:t>
      </w:r>
      <w:r>
        <w:rPr>
          <w:rFonts w:ascii="TheSansOffice" w:eastAsia="Calibri" w:hAnsi="TheSansOffice"/>
          <w:sz w:val="24"/>
          <w:szCs w:val="24"/>
        </w:rPr>
        <w:t>s</w:t>
      </w:r>
      <w:r w:rsidRPr="00330520">
        <w:rPr>
          <w:rFonts w:ascii="TheSansOffice" w:eastAsia="Calibri" w:hAnsi="TheSansOffice"/>
          <w:sz w:val="24"/>
          <w:szCs w:val="24"/>
        </w:rPr>
        <w:t xml:space="preserve"> beleuchten, und die Problematik Wohnraum in einen gesellschaftlichen Gesamtkontext setzen, andererseits soll insbesondere für verschiedene Diskriminierungen auf dem Wohnungsmarkt sensibilisiert werden.</w:t>
      </w:r>
    </w:p>
    <w:p w14:paraId="53222810" w14:textId="77777777" w:rsidR="00180AC9" w:rsidRPr="00850F3E" w:rsidRDefault="00180AC9" w:rsidP="00180AC9">
      <w:pPr>
        <w:ind w:left="737"/>
        <w:rPr>
          <w:rFonts w:ascii="TheSansOffice" w:hAnsi="TheSansOffice"/>
          <w:b/>
          <w:sz w:val="24"/>
          <w:szCs w:val="24"/>
        </w:rPr>
      </w:pPr>
    </w:p>
    <w:p w14:paraId="6067DBCE" w14:textId="77777777" w:rsidR="00180AC9" w:rsidRPr="00850F3E" w:rsidRDefault="00180AC9" w:rsidP="00180AC9">
      <w:pPr>
        <w:pStyle w:val="Listenabsatz"/>
        <w:numPr>
          <w:ilvl w:val="1"/>
          <w:numId w:val="2"/>
        </w:numPr>
        <w:rPr>
          <w:rFonts w:ascii="TheSansOffice" w:hAnsi="TheSansOffice"/>
          <w:b/>
        </w:rPr>
      </w:pPr>
      <w:r w:rsidRPr="00850F3E">
        <w:rPr>
          <w:rFonts w:ascii="TheSansOffice" w:hAnsi="TheSansOffice"/>
          <w:b/>
        </w:rPr>
        <w:t>Hochschulbezug der Maßnahme</w:t>
      </w:r>
    </w:p>
    <w:p w14:paraId="74BBF953" w14:textId="70CB5632" w:rsidR="00330520" w:rsidRPr="00330520" w:rsidRDefault="00330520" w:rsidP="00330520">
      <w:pPr>
        <w:ind w:left="737"/>
        <w:contextualSpacing/>
        <w:rPr>
          <w:rFonts w:ascii="TheSansOffice" w:hAnsi="TheSansOffice"/>
          <w:b/>
          <w:strike/>
        </w:rPr>
      </w:pPr>
      <w:r w:rsidRPr="00330520">
        <w:rPr>
          <w:rFonts w:ascii="TheSansOffice" w:eastAsia="Calibri" w:hAnsi="TheSansOffice"/>
          <w:sz w:val="24"/>
          <w:szCs w:val="24"/>
        </w:rPr>
        <w:t xml:space="preserve">Insbesondere Student*innen sind immer öfter davon betroffen, dass es in Universitätsstädten zu wenig Wohnraum gibt, der in der Regel zusätzlich auch teuer ist. Dabei ist der Wohnort von Student*innen auch für den Studienerfolge wichtig, verschiedene Studien des Deutschen Zentrum für Hochschulforschung zeigen, dass sich die Wahrscheinlichkeit eines Studienabbruchs erhöht, wenn die Student*innen pendeln müssen oder bei ihren Eltern wohnen bleiben. Gleichzeitig werden auch die Wohnheimplätze teurer und sind oft nicht mehr </w:t>
      </w:r>
      <w:r w:rsidRPr="00330520">
        <w:rPr>
          <w:rFonts w:ascii="TheSansOffice" w:eastAsia="Calibri" w:hAnsi="TheSansOffice"/>
          <w:sz w:val="24"/>
          <w:szCs w:val="24"/>
        </w:rPr>
        <w:lastRenderedPageBreak/>
        <w:t>durch die Wohnpauschale des BAföG gedeckt, was die Situation insbesondere für benachteiligte Student*in</w:t>
      </w:r>
      <w:r>
        <w:rPr>
          <w:rFonts w:ascii="TheSansOffice" w:eastAsia="Calibri" w:hAnsi="TheSansOffice"/>
          <w:sz w:val="24"/>
          <w:szCs w:val="24"/>
        </w:rPr>
        <w:t>nen verschlechtert. Somit spielen</w:t>
      </w:r>
      <w:r w:rsidRPr="00330520">
        <w:rPr>
          <w:rFonts w:ascii="TheSansOffice" w:eastAsia="Calibri" w:hAnsi="TheSansOffice"/>
          <w:sz w:val="24"/>
          <w:szCs w:val="24"/>
        </w:rPr>
        <w:t xml:space="preserve"> Wohnraum und Stadtentwicklung auch für die Hochschule und Student*innen eine große Rolle.</w:t>
      </w:r>
    </w:p>
    <w:p w14:paraId="3EE7FCC8" w14:textId="77777777" w:rsidR="0073256D" w:rsidRPr="00850F3E" w:rsidRDefault="0073256D" w:rsidP="00180AC9">
      <w:pPr>
        <w:pStyle w:val="Listenabsatz"/>
        <w:rPr>
          <w:rFonts w:ascii="TheSansOffice" w:hAnsi="TheSansOffice"/>
          <w:b/>
          <w:strike/>
        </w:rPr>
      </w:pPr>
    </w:p>
    <w:p w14:paraId="7DC4CD4B" w14:textId="77777777" w:rsidR="00180AC9" w:rsidRPr="00850F3E" w:rsidRDefault="00180AC9" w:rsidP="00180AC9">
      <w:pPr>
        <w:pStyle w:val="Listenabsatz"/>
        <w:numPr>
          <w:ilvl w:val="1"/>
          <w:numId w:val="2"/>
        </w:numPr>
        <w:rPr>
          <w:rFonts w:ascii="TheSansOffice" w:hAnsi="TheSansOffice"/>
          <w:b/>
        </w:rPr>
      </w:pPr>
      <w:r w:rsidRPr="00850F3E">
        <w:rPr>
          <w:rFonts w:ascii="TheSansOffice" w:hAnsi="TheSansOffice"/>
          <w:b/>
        </w:rPr>
        <w:t>Zielgruppe der Maßnahme</w:t>
      </w:r>
    </w:p>
    <w:p w14:paraId="5148F7CB" w14:textId="782D48FC" w:rsidR="00330520" w:rsidRPr="00330520" w:rsidRDefault="00330520" w:rsidP="00330520">
      <w:pPr>
        <w:pStyle w:val="Listenabsatz"/>
        <w:rPr>
          <w:rFonts w:ascii="TheSansOffice" w:hAnsi="TheSansOffice"/>
          <w:b/>
        </w:rPr>
      </w:pPr>
      <w:r w:rsidRPr="00330520">
        <w:rPr>
          <w:rFonts w:ascii="TheSansOffice" w:eastAsia="Calibri" w:hAnsi="TheSansOffice" w:cs="Times New Roman"/>
        </w:rPr>
        <w:t xml:space="preserve">Das Seminar richtet sich an interessierte Student*innen sowie studentische Gruppen, die sich gerne mit dem Problem Wohnraum, Städteentwicklung und </w:t>
      </w:r>
      <w:proofErr w:type="spellStart"/>
      <w:r w:rsidRPr="00330520">
        <w:rPr>
          <w:rFonts w:ascii="TheSansOffice" w:eastAsia="Calibri" w:hAnsi="TheSansOffice" w:cs="Times New Roman"/>
        </w:rPr>
        <w:t>Gentrifizierung</w:t>
      </w:r>
      <w:proofErr w:type="spellEnd"/>
      <w:r w:rsidRPr="00330520">
        <w:rPr>
          <w:rFonts w:ascii="TheSansOffice" w:eastAsia="Calibri" w:hAnsi="TheSansOffice" w:cs="Times New Roman"/>
        </w:rPr>
        <w:t xml:space="preserve"> auseinandersetzen wollen, und sich mit anderen Student*innen wie Gruppen, die dazu arbeiten vernetzen wollen, um an gemeinsamen Lösungen und Konzepten zur Gestaltung von Wohnraumpolitik zu arbeiten.</w:t>
      </w:r>
    </w:p>
    <w:p w14:paraId="0ABE212E" w14:textId="77777777" w:rsidR="00180AC9" w:rsidRPr="00850F3E" w:rsidRDefault="00180AC9" w:rsidP="00180AC9">
      <w:pPr>
        <w:pStyle w:val="Listenabsatz"/>
        <w:rPr>
          <w:rFonts w:ascii="TheSansOffice" w:hAnsi="TheSansOffice"/>
          <w:b/>
        </w:rPr>
      </w:pPr>
    </w:p>
    <w:p w14:paraId="3B0BAB4B" w14:textId="77777777" w:rsidR="00180AC9" w:rsidRPr="00850F3E" w:rsidRDefault="00180AC9" w:rsidP="00180AC9">
      <w:pPr>
        <w:pStyle w:val="Listenabsatz"/>
        <w:numPr>
          <w:ilvl w:val="1"/>
          <w:numId w:val="2"/>
        </w:numPr>
        <w:rPr>
          <w:rFonts w:ascii="TheSansOffice" w:hAnsi="TheSansOffice"/>
          <w:b/>
        </w:rPr>
      </w:pPr>
      <w:r w:rsidRPr="00850F3E">
        <w:rPr>
          <w:rFonts w:ascii="TheSansOffice" w:hAnsi="TheSansOffice"/>
          <w:b/>
        </w:rPr>
        <w:t>Geplantes Tagungsprogramm mit Ablaufplan</w:t>
      </w:r>
    </w:p>
    <w:p w14:paraId="49B734F4" w14:textId="77777777" w:rsidR="00180AC9" w:rsidRPr="00180AC9" w:rsidRDefault="00180AC9" w:rsidP="00180AC9">
      <w:pPr>
        <w:pStyle w:val="Listenabsatz"/>
        <w:ind w:left="1440"/>
        <w:rPr>
          <w:rFonts w:ascii="TheSansOffice" w:hAnsi="TheSansOffice"/>
          <w:b/>
        </w:rPr>
      </w:pPr>
    </w:p>
    <w:p w14:paraId="47FF69E5" w14:textId="5A3A3AED" w:rsidR="00330520" w:rsidRPr="00330520" w:rsidRDefault="00330520" w:rsidP="00330520">
      <w:pPr>
        <w:ind w:left="720"/>
        <w:contextualSpacing/>
        <w:rPr>
          <w:rFonts w:ascii="TheSansOffice" w:eastAsia="Calibri" w:hAnsi="TheSansOffice"/>
          <w:sz w:val="24"/>
          <w:szCs w:val="24"/>
        </w:rPr>
      </w:pPr>
      <w:r>
        <w:rPr>
          <w:rFonts w:ascii="TheSansOffice" w:eastAsia="Calibri" w:hAnsi="TheSansOffice"/>
          <w:b/>
          <w:bCs/>
          <w:sz w:val="24"/>
          <w:szCs w:val="24"/>
        </w:rPr>
        <w:t>Freitag</w:t>
      </w:r>
    </w:p>
    <w:p w14:paraId="2C8E5FC4" w14:textId="046E2A6D" w:rsidR="00330520" w:rsidRPr="00330520" w:rsidRDefault="00330520" w:rsidP="00330520">
      <w:pPr>
        <w:ind w:left="720"/>
        <w:contextualSpacing/>
        <w:rPr>
          <w:rFonts w:ascii="TheSansOffice" w:eastAsia="Calibri" w:hAnsi="TheSansOffice"/>
          <w:sz w:val="24"/>
          <w:szCs w:val="24"/>
        </w:rPr>
      </w:pPr>
      <w:r w:rsidRPr="00330520">
        <w:rPr>
          <w:rFonts w:ascii="TheSansOffice" w:eastAsia="Calibri" w:hAnsi="TheSansOffice"/>
          <w:sz w:val="24"/>
          <w:szCs w:val="24"/>
        </w:rPr>
        <w:t>18</w:t>
      </w:r>
      <w:r>
        <w:rPr>
          <w:rFonts w:ascii="TheSansOffice" w:eastAsia="Calibri" w:hAnsi="TheSansOffice"/>
          <w:sz w:val="24"/>
          <w:szCs w:val="24"/>
        </w:rPr>
        <w:t>.00 Uhr</w:t>
      </w:r>
      <w:r>
        <w:rPr>
          <w:rFonts w:ascii="TheSansOffice" w:eastAsia="Calibri" w:hAnsi="TheSansOffice"/>
          <w:sz w:val="24"/>
          <w:szCs w:val="24"/>
        </w:rPr>
        <w:tab/>
      </w:r>
      <w:r w:rsidRPr="00330520">
        <w:rPr>
          <w:rFonts w:ascii="TheSansOffice" w:eastAsia="Calibri" w:hAnsi="TheSansOffice"/>
          <w:sz w:val="24"/>
          <w:szCs w:val="24"/>
        </w:rPr>
        <w:t>Abendessen</w:t>
      </w:r>
    </w:p>
    <w:p w14:paraId="6CFCB96B" w14:textId="7D1D64CE" w:rsidR="00330520" w:rsidRPr="00330520" w:rsidRDefault="00330520" w:rsidP="00330520">
      <w:pPr>
        <w:ind w:left="720"/>
        <w:contextualSpacing/>
        <w:rPr>
          <w:rFonts w:ascii="TheSansOffice" w:eastAsia="Calibri" w:hAnsi="TheSansOffice"/>
          <w:sz w:val="24"/>
          <w:szCs w:val="24"/>
        </w:rPr>
      </w:pPr>
      <w:r w:rsidRPr="00330520">
        <w:rPr>
          <w:rFonts w:ascii="TheSansOffice" w:eastAsia="Calibri" w:hAnsi="TheSansOffice"/>
          <w:sz w:val="24"/>
          <w:szCs w:val="24"/>
        </w:rPr>
        <w:t>19</w:t>
      </w:r>
      <w:r>
        <w:rPr>
          <w:rFonts w:ascii="TheSansOffice" w:eastAsia="Calibri" w:hAnsi="TheSansOffice"/>
          <w:sz w:val="24"/>
          <w:szCs w:val="24"/>
        </w:rPr>
        <w:t>.00 Uhr</w:t>
      </w:r>
      <w:r>
        <w:rPr>
          <w:rFonts w:ascii="TheSansOffice" w:eastAsia="Calibri" w:hAnsi="TheSansOffice"/>
          <w:sz w:val="24"/>
          <w:szCs w:val="24"/>
        </w:rPr>
        <w:tab/>
      </w:r>
      <w:proofErr w:type="spellStart"/>
      <w:r w:rsidRPr="00330520">
        <w:rPr>
          <w:rFonts w:ascii="TheSansOffice" w:eastAsia="Calibri" w:hAnsi="TheSansOffice"/>
          <w:sz w:val="24"/>
          <w:szCs w:val="24"/>
        </w:rPr>
        <w:t>Ken</w:t>
      </w:r>
      <w:r>
        <w:rPr>
          <w:rFonts w:ascii="TheSansOffice" w:eastAsia="Calibri" w:hAnsi="TheSansOffice"/>
          <w:sz w:val="24"/>
          <w:szCs w:val="24"/>
        </w:rPr>
        <w:t>nenlernrunde</w:t>
      </w:r>
      <w:proofErr w:type="spellEnd"/>
      <w:r>
        <w:rPr>
          <w:rFonts w:ascii="TheSansOffice" w:eastAsia="Calibri" w:hAnsi="TheSansOffice"/>
          <w:sz w:val="24"/>
          <w:szCs w:val="24"/>
        </w:rPr>
        <w:t xml:space="preserve"> und Vorbesprechung</w:t>
      </w:r>
    </w:p>
    <w:p w14:paraId="36622832" w14:textId="3D173BAA" w:rsidR="00330520" w:rsidRDefault="00330520" w:rsidP="00330520">
      <w:pPr>
        <w:ind w:left="2124" w:hanging="1404"/>
        <w:contextualSpacing/>
        <w:rPr>
          <w:rFonts w:ascii="TheSansOffice" w:eastAsia="Calibri" w:hAnsi="TheSansOffice"/>
          <w:sz w:val="24"/>
          <w:szCs w:val="24"/>
        </w:rPr>
      </w:pPr>
      <w:r w:rsidRPr="00330520">
        <w:rPr>
          <w:rFonts w:ascii="TheSansOffice" w:eastAsia="Calibri" w:hAnsi="TheSansOffice"/>
          <w:sz w:val="24"/>
          <w:szCs w:val="24"/>
        </w:rPr>
        <w:t>20</w:t>
      </w:r>
      <w:r>
        <w:rPr>
          <w:rFonts w:ascii="TheSansOffice" w:eastAsia="Calibri" w:hAnsi="TheSansOffice"/>
          <w:sz w:val="24"/>
          <w:szCs w:val="24"/>
        </w:rPr>
        <w:t>.00 Uhr</w:t>
      </w:r>
      <w:r>
        <w:rPr>
          <w:rFonts w:ascii="TheSansOffice" w:eastAsia="Calibri" w:hAnsi="TheSansOffice"/>
          <w:sz w:val="24"/>
          <w:szCs w:val="24"/>
        </w:rPr>
        <w:tab/>
      </w:r>
      <w:r w:rsidRPr="00330520">
        <w:rPr>
          <w:rFonts w:ascii="TheSansOffice" w:eastAsia="Calibri" w:hAnsi="TheSansOffice"/>
          <w:sz w:val="24"/>
          <w:szCs w:val="24"/>
        </w:rPr>
        <w:t xml:space="preserve">Input I: Das Problem Wohnraum – eine Einführung (90 min, </w:t>
      </w:r>
      <w:r>
        <w:rPr>
          <w:rFonts w:ascii="TheSansOffice" w:eastAsia="Calibri" w:hAnsi="TheSansOffice"/>
          <w:sz w:val="24"/>
          <w:szCs w:val="24"/>
        </w:rPr>
        <w:t>Referent*in)</w:t>
      </w:r>
    </w:p>
    <w:p w14:paraId="3F58B45C" w14:textId="77777777" w:rsidR="00330520" w:rsidRPr="00330520" w:rsidRDefault="00330520" w:rsidP="00330520">
      <w:pPr>
        <w:ind w:left="2124" w:hanging="1404"/>
        <w:contextualSpacing/>
        <w:rPr>
          <w:rFonts w:ascii="TheSansOffice" w:hAnsi="TheSansOffice"/>
        </w:rPr>
      </w:pPr>
    </w:p>
    <w:p w14:paraId="6EACD669" w14:textId="6F14B4C6" w:rsidR="00330520" w:rsidRPr="00330520" w:rsidRDefault="00330520" w:rsidP="00330520">
      <w:pPr>
        <w:ind w:left="720"/>
        <w:contextualSpacing/>
        <w:rPr>
          <w:rFonts w:ascii="TheSansOffice" w:eastAsia="Calibri" w:hAnsi="TheSansOffice"/>
          <w:sz w:val="24"/>
          <w:szCs w:val="24"/>
        </w:rPr>
      </w:pPr>
      <w:r>
        <w:rPr>
          <w:rFonts w:ascii="TheSansOffice" w:eastAsia="Calibri" w:hAnsi="TheSansOffice"/>
          <w:b/>
          <w:bCs/>
          <w:sz w:val="24"/>
          <w:szCs w:val="24"/>
        </w:rPr>
        <w:t>Samstag</w:t>
      </w:r>
    </w:p>
    <w:p w14:paraId="77AA6896" w14:textId="641A4007" w:rsidR="00330520" w:rsidRPr="00330520" w:rsidRDefault="00330520" w:rsidP="00330520">
      <w:pPr>
        <w:ind w:left="720"/>
        <w:contextualSpacing/>
        <w:rPr>
          <w:rFonts w:ascii="TheSansOffice" w:hAnsi="TheSansOffice"/>
        </w:rPr>
      </w:pPr>
      <w:r>
        <w:rPr>
          <w:rFonts w:ascii="TheSansOffice" w:eastAsia="Calibri" w:hAnsi="TheSansOffice"/>
          <w:sz w:val="24"/>
          <w:szCs w:val="24"/>
        </w:rPr>
        <w:t>8.00 Uhr</w:t>
      </w:r>
      <w:r>
        <w:rPr>
          <w:rFonts w:ascii="TheSansOffice" w:eastAsia="Calibri" w:hAnsi="TheSansOffice"/>
          <w:sz w:val="24"/>
          <w:szCs w:val="24"/>
        </w:rPr>
        <w:tab/>
        <w:t>Frühstück</w:t>
      </w:r>
    </w:p>
    <w:p w14:paraId="5F7B38CD" w14:textId="0DEB7116" w:rsidR="00330520" w:rsidRPr="00330520" w:rsidRDefault="00330520" w:rsidP="00330520">
      <w:pPr>
        <w:ind w:left="2124" w:hanging="1404"/>
        <w:contextualSpacing/>
        <w:rPr>
          <w:rFonts w:ascii="TheSansOffice" w:hAnsi="TheSansOffice"/>
        </w:rPr>
      </w:pPr>
      <w:r>
        <w:rPr>
          <w:rFonts w:ascii="TheSansOffice" w:eastAsia="Calibri" w:hAnsi="TheSansOffice"/>
          <w:sz w:val="24"/>
          <w:szCs w:val="24"/>
        </w:rPr>
        <w:t>9.00 Uhr</w:t>
      </w:r>
      <w:r>
        <w:rPr>
          <w:rFonts w:ascii="TheSansOffice" w:eastAsia="Calibri" w:hAnsi="TheSansOffice"/>
          <w:sz w:val="24"/>
          <w:szCs w:val="24"/>
        </w:rPr>
        <w:tab/>
      </w:r>
      <w:r w:rsidRPr="00330520">
        <w:rPr>
          <w:rFonts w:ascii="TheSansOffice" w:eastAsia="Calibri" w:hAnsi="TheSansOffice"/>
          <w:sz w:val="24"/>
          <w:szCs w:val="24"/>
        </w:rPr>
        <w:t xml:space="preserve">Werkstattphase I: </w:t>
      </w:r>
      <w:proofErr w:type="spellStart"/>
      <w:r w:rsidRPr="00330520">
        <w:rPr>
          <w:rFonts w:ascii="TheSansOffice" w:eastAsia="Calibri" w:hAnsi="TheSansOffice"/>
          <w:sz w:val="24"/>
          <w:szCs w:val="24"/>
        </w:rPr>
        <w:t>Gentrifizierung</w:t>
      </w:r>
      <w:proofErr w:type="spellEnd"/>
      <w:r w:rsidRPr="00330520">
        <w:rPr>
          <w:rFonts w:ascii="TheSansOffice" w:eastAsia="Calibri" w:hAnsi="TheSansOffice"/>
          <w:sz w:val="24"/>
          <w:szCs w:val="24"/>
        </w:rPr>
        <w:t xml:space="preserve"> unter die Lupe genommen: wie, was, wann (120 min, interne Teamer*in)</w:t>
      </w:r>
    </w:p>
    <w:p w14:paraId="153F097C" w14:textId="098A6B40" w:rsidR="00330520" w:rsidRPr="00330520" w:rsidRDefault="00330520" w:rsidP="00330520">
      <w:pPr>
        <w:ind w:left="2124" w:hanging="1404"/>
        <w:contextualSpacing/>
        <w:rPr>
          <w:rFonts w:ascii="TheSansOffice" w:hAnsi="TheSansOffice"/>
        </w:rPr>
      </w:pPr>
      <w:r>
        <w:rPr>
          <w:rFonts w:ascii="TheSansOffice" w:eastAsia="Calibri" w:hAnsi="TheSansOffice"/>
          <w:sz w:val="24"/>
          <w:szCs w:val="24"/>
        </w:rPr>
        <w:t>11.00 Uhr</w:t>
      </w:r>
      <w:r>
        <w:rPr>
          <w:rFonts w:ascii="TheSansOffice" w:eastAsia="Calibri" w:hAnsi="TheSansOffice"/>
          <w:sz w:val="24"/>
          <w:szCs w:val="24"/>
        </w:rPr>
        <w:tab/>
      </w:r>
      <w:proofErr w:type="spellStart"/>
      <w:r w:rsidRPr="00330520">
        <w:rPr>
          <w:rFonts w:ascii="TheSansOffice" w:eastAsia="Calibri" w:hAnsi="TheSansOffice"/>
          <w:sz w:val="24"/>
          <w:szCs w:val="24"/>
        </w:rPr>
        <w:t>Stationenphase</w:t>
      </w:r>
      <w:proofErr w:type="spellEnd"/>
      <w:r w:rsidRPr="00330520">
        <w:rPr>
          <w:rFonts w:ascii="TheSansOffice" w:eastAsia="Calibri" w:hAnsi="TheSansOffice"/>
          <w:sz w:val="24"/>
          <w:szCs w:val="24"/>
        </w:rPr>
        <w:t xml:space="preserve"> I: Diskriminierung auf dem Wohnungsmarkt – konkrete Fälle (120 min, Referent*in)</w:t>
      </w:r>
    </w:p>
    <w:p w14:paraId="2E5B9AF0" w14:textId="1E412A54" w:rsidR="00330520" w:rsidRPr="00330520" w:rsidRDefault="00330520" w:rsidP="00330520">
      <w:pPr>
        <w:ind w:left="720"/>
        <w:contextualSpacing/>
        <w:rPr>
          <w:rFonts w:ascii="TheSansOffice" w:hAnsi="TheSansOffice"/>
        </w:rPr>
      </w:pPr>
      <w:r w:rsidRPr="00330520">
        <w:rPr>
          <w:rFonts w:ascii="TheSansOffice" w:eastAsia="Calibri" w:hAnsi="TheSansOffice"/>
          <w:sz w:val="24"/>
          <w:szCs w:val="24"/>
        </w:rPr>
        <w:tab/>
      </w:r>
      <w:r w:rsidRPr="00330520">
        <w:rPr>
          <w:rFonts w:ascii="TheSansOffice" w:eastAsia="Calibri" w:hAnsi="TheSansOffice"/>
          <w:sz w:val="24"/>
          <w:szCs w:val="24"/>
        </w:rPr>
        <w:tab/>
        <w:t xml:space="preserve">a. Herausforderungen bei der Wohnungssuche für </w:t>
      </w:r>
      <w:r w:rsidRPr="00330520">
        <w:rPr>
          <w:rFonts w:ascii="TheSansOffice" w:eastAsia="Calibri" w:hAnsi="TheSansOffice"/>
          <w:sz w:val="24"/>
          <w:szCs w:val="24"/>
        </w:rPr>
        <w:tab/>
      </w:r>
      <w:r w:rsidRPr="00330520">
        <w:rPr>
          <w:rFonts w:ascii="TheSansOffice" w:eastAsia="Calibri" w:hAnsi="TheSansOffice"/>
          <w:sz w:val="24"/>
          <w:szCs w:val="24"/>
        </w:rPr>
        <w:tab/>
      </w:r>
      <w:r w:rsidRPr="00330520">
        <w:rPr>
          <w:rFonts w:ascii="TheSansOffice" w:eastAsia="Calibri" w:hAnsi="TheSansOffice"/>
          <w:sz w:val="24"/>
          <w:szCs w:val="24"/>
        </w:rPr>
        <w:tab/>
      </w:r>
      <w:r>
        <w:rPr>
          <w:rFonts w:ascii="TheSansOffice" w:eastAsia="Calibri" w:hAnsi="TheSansOffice"/>
          <w:sz w:val="24"/>
          <w:szCs w:val="24"/>
        </w:rPr>
        <w:tab/>
      </w:r>
      <w:r w:rsidRPr="00330520">
        <w:rPr>
          <w:rFonts w:ascii="TheSansOffice" w:eastAsia="Calibri" w:hAnsi="TheSansOffice"/>
          <w:sz w:val="24"/>
          <w:szCs w:val="24"/>
        </w:rPr>
        <w:t>Internationale Student*innen</w:t>
      </w:r>
    </w:p>
    <w:p w14:paraId="0B53A835" w14:textId="77777777" w:rsidR="00330520" w:rsidRPr="00330520" w:rsidRDefault="00330520" w:rsidP="00330520">
      <w:pPr>
        <w:ind w:left="720"/>
        <w:contextualSpacing/>
        <w:rPr>
          <w:rFonts w:ascii="TheSansOffice" w:hAnsi="TheSansOffice"/>
        </w:rPr>
      </w:pPr>
      <w:r w:rsidRPr="00330520">
        <w:rPr>
          <w:rFonts w:ascii="TheSansOffice" w:eastAsia="Calibri" w:hAnsi="TheSansOffice"/>
          <w:sz w:val="24"/>
          <w:szCs w:val="24"/>
        </w:rPr>
        <w:tab/>
      </w:r>
      <w:r w:rsidRPr="00330520">
        <w:rPr>
          <w:rFonts w:ascii="TheSansOffice" w:eastAsia="Calibri" w:hAnsi="TheSansOffice"/>
          <w:sz w:val="24"/>
          <w:szCs w:val="24"/>
        </w:rPr>
        <w:tab/>
        <w:t>b. Herausforderungen bei der Wohnungssuche für LGBT*</w:t>
      </w:r>
    </w:p>
    <w:p w14:paraId="2368A384" w14:textId="77777777" w:rsidR="00330520" w:rsidRPr="00330520" w:rsidRDefault="00330520" w:rsidP="00330520">
      <w:pPr>
        <w:ind w:left="720"/>
        <w:contextualSpacing/>
        <w:rPr>
          <w:rFonts w:ascii="TheSansOffice" w:hAnsi="TheSansOffice"/>
        </w:rPr>
      </w:pPr>
      <w:r w:rsidRPr="00330520">
        <w:rPr>
          <w:rFonts w:ascii="TheSansOffice" w:eastAsia="Calibri" w:hAnsi="TheSansOffice"/>
          <w:sz w:val="24"/>
          <w:szCs w:val="24"/>
        </w:rPr>
        <w:tab/>
      </w:r>
      <w:r w:rsidRPr="00330520">
        <w:rPr>
          <w:rFonts w:ascii="TheSansOffice" w:eastAsia="Calibri" w:hAnsi="TheSansOffice"/>
          <w:sz w:val="24"/>
          <w:szCs w:val="24"/>
        </w:rPr>
        <w:tab/>
        <w:t>c. Wohnen in armen Verhältnissen</w:t>
      </w:r>
    </w:p>
    <w:p w14:paraId="0055C384" w14:textId="16069E0C" w:rsidR="00330520" w:rsidRPr="00330520" w:rsidRDefault="00330520" w:rsidP="00330520">
      <w:pPr>
        <w:ind w:left="720"/>
        <w:contextualSpacing/>
        <w:rPr>
          <w:rFonts w:ascii="TheSansOffice" w:hAnsi="TheSansOffice"/>
        </w:rPr>
      </w:pPr>
      <w:r>
        <w:rPr>
          <w:rFonts w:ascii="TheSansOffice" w:eastAsia="Calibri" w:hAnsi="TheSansOffice"/>
          <w:sz w:val="24"/>
          <w:szCs w:val="24"/>
        </w:rPr>
        <w:t>13.00 Uhr</w:t>
      </w:r>
      <w:r>
        <w:rPr>
          <w:rFonts w:ascii="TheSansOffice" w:eastAsia="Calibri" w:hAnsi="TheSansOffice"/>
          <w:sz w:val="24"/>
          <w:szCs w:val="24"/>
        </w:rPr>
        <w:tab/>
        <w:t>Mittagessen</w:t>
      </w:r>
    </w:p>
    <w:p w14:paraId="753A5A25" w14:textId="475D0B43" w:rsidR="00330520" w:rsidRPr="00330520" w:rsidRDefault="00330520" w:rsidP="00330520">
      <w:pPr>
        <w:ind w:left="2124" w:hanging="1404"/>
        <w:contextualSpacing/>
        <w:rPr>
          <w:rFonts w:ascii="TheSansOffice" w:hAnsi="TheSansOffice"/>
        </w:rPr>
      </w:pPr>
      <w:r>
        <w:rPr>
          <w:rFonts w:ascii="TheSansOffice" w:eastAsia="Calibri" w:hAnsi="TheSansOffice"/>
          <w:sz w:val="24"/>
          <w:szCs w:val="24"/>
        </w:rPr>
        <w:t>14.00 Uhr</w:t>
      </w:r>
      <w:r>
        <w:rPr>
          <w:rFonts w:ascii="TheSansOffice" w:eastAsia="Calibri" w:hAnsi="TheSansOffice"/>
          <w:sz w:val="24"/>
          <w:szCs w:val="24"/>
        </w:rPr>
        <w:tab/>
      </w:r>
      <w:r w:rsidRPr="00330520">
        <w:rPr>
          <w:rFonts w:ascii="TheSansOffice" w:eastAsia="Calibri" w:hAnsi="TheSansOffice"/>
          <w:sz w:val="24"/>
          <w:szCs w:val="24"/>
        </w:rPr>
        <w:t>Input II: Wohnen neu gedacht – alternative Wohnprojekte(120 min, externe Referent*in)</w:t>
      </w:r>
    </w:p>
    <w:p w14:paraId="5AA12A50" w14:textId="7009C8E4" w:rsidR="00330520" w:rsidRPr="00330520" w:rsidRDefault="00330520" w:rsidP="00330520">
      <w:pPr>
        <w:ind w:left="2124" w:hanging="1404"/>
        <w:contextualSpacing/>
        <w:rPr>
          <w:rFonts w:ascii="TheSansOffice" w:hAnsi="TheSansOffice"/>
        </w:rPr>
      </w:pPr>
      <w:r>
        <w:rPr>
          <w:rFonts w:ascii="TheSansOffice" w:eastAsia="Calibri" w:hAnsi="TheSansOffice"/>
          <w:sz w:val="24"/>
          <w:szCs w:val="24"/>
        </w:rPr>
        <w:t>16.00 Uhr</w:t>
      </w:r>
      <w:r>
        <w:rPr>
          <w:rFonts w:ascii="TheSansOffice" w:eastAsia="Calibri" w:hAnsi="TheSansOffice"/>
          <w:sz w:val="24"/>
          <w:szCs w:val="24"/>
        </w:rPr>
        <w:tab/>
      </w:r>
      <w:r w:rsidRPr="00330520">
        <w:rPr>
          <w:rFonts w:ascii="TheSansOffice" w:eastAsia="Calibri" w:hAnsi="TheSansOffice"/>
          <w:sz w:val="24"/>
          <w:szCs w:val="24"/>
        </w:rPr>
        <w:t>Werkstattphase II: Wie weiter? Gemeinsame Konzepte gegen Wohnungsnot (120 min, interne Teamer*innen)</w:t>
      </w:r>
    </w:p>
    <w:p w14:paraId="73E12470" w14:textId="0E02AF8A" w:rsidR="00330520" w:rsidRDefault="00330520" w:rsidP="00330520">
      <w:pPr>
        <w:ind w:left="720"/>
        <w:contextualSpacing/>
        <w:rPr>
          <w:rFonts w:ascii="TheSansOffice" w:eastAsia="Calibri" w:hAnsi="TheSansOffice"/>
          <w:sz w:val="24"/>
          <w:szCs w:val="24"/>
        </w:rPr>
      </w:pPr>
      <w:r>
        <w:rPr>
          <w:rFonts w:ascii="TheSansOffice" w:eastAsia="Calibri" w:hAnsi="TheSansOffice"/>
          <w:sz w:val="24"/>
          <w:szCs w:val="24"/>
        </w:rPr>
        <w:t>18.00 Uhr</w:t>
      </w:r>
      <w:r>
        <w:rPr>
          <w:rFonts w:ascii="TheSansOffice" w:eastAsia="Calibri" w:hAnsi="TheSansOffice"/>
          <w:sz w:val="24"/>
          <w:szCs w:val="24"/>
        </w:rPr>
        <w:tab/>
        <w:t>Abendessen</w:t>
      </w:r>
    </w:p>
    <w:p w14:paraId="1814EE9E" w14:textId="77777777" w:rsidR="00330520" w:rsidRPr="00330520" w:rsidRDefault="00330520" w:rsidP="00330520">
      <w:pPr>
        <w:ind w:left="720"/>
        <w:contextualSpacing/>
        <w:rPr>
          <w:rFonts w:ascii="TheSansOffice" w:hAnsi="TheSansOffice"/>
        </w:rPr>
      </w:pPr>
    </w:p>
    <w:p w14:paraId="1F3FD3AD" w14:textId="4D42B01B" w:rsidR="00330520" w:rsidRPr="00330520" w:rsidRDefault="00330520" w:rsidP="00330520">
      <w:pPr>
        <w:ind w:left="720"/>
        <w:contextualSpacing/>
        <w:rPr>
          <w:rFonts w:ascii="TheSansOffice" w:eastAsia="Calibri" w:hAnsi="TheSansOffice"/>
          <w:sz w:val="24"/>
          <w:szCs w:val="24"/>
        </w:rPr>
      </w:pPr>
      <w:r>
        <w:rPr>
          <w:rFonts w:ascii="TheSansOffice" w:eastAsia="Calibri" w:hAnsi="TheSansOffice"/>
          <w:b/>
          <w:bCs/>
          <w:sz w:val="24"/>
          <w:szCs w:val="24"/>
        </w:rPr>
        <w:t>Sonntag</w:t>
      </w:r>
    </w:p>
    <w:p w14:paraId="6EA85868" w14:textId="5B55F924" w:rsidR="00330520" w:rsidRPr="00330520" w:rsidRDefault="00330520" w:rsidP="00330520">
      <w:pPr>
        <w:ind w:left="720"/>
        <w:contextualSpacing/>
        <w:rPr>
          <w:rFonts w:ascii="TheSansOffice" w:eastAsia="Calibri" w:hAnsi="TheSansOffice"/>
          <w:sz w:val="24"/>
          <w:szCs w:val="24"/>
        </w:rPr>
      </w:pPr>
      <w:r>
        <w:rPr>
          <w:rFonts w:ascii="TheSansOffice" w:eastAsia="Calibri" w:hAnsi="TheSansOffice"/>
          <w:sz w:val="24"/>
          <w:szCs w:val="24"/>
        </w:rPr>
        <w:t>8.00 Uhr</w:t>
      </w:r>
      <w:r>
        <w:rPr>
          <w:rFonts w:ascii="TheSansOffice" w:eastAsia="Calibri" w:hAnsi="TheSansOffice"/>
          <w:sz w:val="24"/>
          <w:szCs w:val="24"/>
        </w:rPr>
        <w:tab/>
      </w:r>
      <w:r w:rsidRPr="00330520">
        <w:rPr>
          <w:rFonts w:ascii="TheSansOffice" w:eastAsia="Calibri" w:hAnsi="TheSansOffice"/>
          <w:sz w:val="24"/>
          <w:szCs w:val="24"/>
        </w:rPr>
        <w:t>Frühstück</w:t>
      </w:r>
    </w:p>
    <w:p w14:paraId="4B546F56" w14:textId="6F404062" w:rsidR="00330520" w:rsidRPr="00330520" w:rsidRDefault="00330520" w:rsidP="00330520">
      <w:pPr>
        <w:ind w:left="2124" w:hanging="1404"/>
        <w:contextualSpacing/>
        <w:rPr>
          <w:rFonts w:ascii="TheSansOffice" w:hAnsi="TheSansOffice"/>
        </w:rPr>
      </w:pPr>
      <w:r>
        <w:rPr>
          <w:rFonts w:ascii="TheSansOffice" w:eastAsia="Calibri" w:hAnsi="TheSansOffice"/>
          <w:sz w:val="24"/>
          <w:szCs w:val="24"/>
        </w:rPr>
        <w:t>9.00 Uhr</w:t>
      </w:r>
      <w:r>
        <w:rPr>
          <w:rFonts w:ascii="TheSansOffice" w:eastAsia="Calibri" w:hAnsi="TheSansOffice"/>
          <w:sz w:val="24"/>
          <w:szCs w:val="24"/>
        </w:rPr>
        <w:tab/>
      </w:r>
      <w:r w:rsidRPr="00330520">
        <w:rPr>
          <w:rFonts w:ascii="TheSansOffice" w:eastAsia="Calibri" w:hAnsi="TheSansOffice"/>
          <w:sz w:val="24"/>
          <w:szCs w:val="24"/>
        </w:rPr>
        <w:t>Werkstattphase III: Meine Stadt 2050 – wie wir leben wollen (120 min, interne Teamer*innen)</w:t>
      </w:r>
    </w:p>
    <w:p w14:paraId="01402344" w14:textId="110A4D54" w:rsidR="00330520" w:rsidRPr="00330520" w:rsidRDefault="00330520" w:rsidP="00330520">
      <w:pPr>
        <w:ind w:left="720"/>
        <w:contextualSpacing/>
        <w:rPr>
          <w:rFonts w:ascii="TheSansOffice" w:hAnsi="TheSansOffice"/>
        </w:rPr>
      </w:pPr>
      <w:r>
        <w:rPr>
          <w:rFonts w:ascii="TheSansOffice" w:eastAsia="Calibri" w:hAnsi="TheSansOffice"/>
          <w:sz w:val="24"/>
          <w:szCs w:val="24"/>
        </w:rPr>
        <w:t>11.00 Uhr</w:t>
      </w:r>
      <w:r>
        <w:rPr>
          <w:rFonts w:ascii="TheSansOffice" w:eastAsia="Calibri" w:hAnsi="TheSansOffice"/>
          <w:sz w:val="24"/>
          <w:szCs w:val="24"/>
        </w:rPr>
        <w:tab/>
      </w:r>
      <w:r w:rsidRPr="00330520">
        <w:rPr>
          <w:rFonts w:ascii="TheSansOffice" w:eastAsia="Calibri" w:hAnsi="TheSansOffice"/>
          <w:sz w:val="24"/>
          <w:szCs w:val="24"/>
        </w:rPr>
        <w:t>Nachbesprechung und Auswertung</w:t>
      </w:r>
    </w:p>
    <w:p w14:paraId="1495A632" w14:textId="57C84329" w:rsidR="00330520" w:rsidRPr="00330520" w:rsidRDefault="00330520" w:rsidP="00330520">
      <w:pPr>
        <w:ind w:left="720"/>
        <w:contextualSpacing/>
        <w:rPr>
          <w:rFonts w:ascii="TheSansOffice" w:hAnsi="TheSansOffice"/>
        </w:rPr>
      </w:pPr>
      <w:r>
        <w:rPr>
          <w:rFonts w:ascii="TheSansOffice" w:eastAsia="Calibri" w:hAnsi="TheSansOffice"/>
          <w:sz w:val="24"/>
          <w:szCs w:val="24"/>
        </w:rPr>
        <w:t>ab 12.00 Uhr</w:t>
      </w:r>
      <w:r>
        <w:rPr>
          <w:rFonts w:ascii="TheSansOffice" w:eastAsia="Calibri" w:hAnsi="TheSansOffice"/>
          <w:sz w:val="24"/>
          <w:szCs w:val="24"/>
        </w:rPr>
        <w:tab/>
      </w:r>
      <w:r w:rsidRPr="00330520">
        <w:rPr>
          <w:rFonts w:ascii="TheSansOffice" w:eastAsia="Calibri" w:hAnsi="TheSansOffice"/>
          <w:sz w:val="24"/>
          <w:szCs w:val="24"/>
        </w:rPr>
        <w:t>Abreise</w:t>
      </w:r>
    </w:p>
    <w:p w14:paraId="7C55EFA4" w14:textId="77777777" w:rsidR="00330520" w:rsidRPr="00180AC9" w:rsidRDefault="00330520" w:rsidP="00180AC9">
      <w:pPr>
        <w:pStyle w:val="Listenabsatz"/>
        <w:rPr>
          <w:rFonts w:ascii="TheSansOffice" w:hAnsi="TheSansOffice"/>
        </w:rPr>
      </w:pPr>
    </w:p>
    <w:p w14:paraId="15EE9A66" w14:textId="77777777" w:rsidR="00180AC9" w:rsidRPr="00180AC9" w:rsidRDefault="00180AC9" w:rsidP="00180AC9">
      <w:pPr>
        <w:pStyle w:val="Listenabsatz"/>
        <w:numPr>
          <w:ilvl w:val="1"/>
          <w:numId w:val="2"/>
        </w:numPr>
        <w:rPr>
          <w:rFonts w:ascii="TheSansOffice" w:hAnsi="TheSansOffice"/>
          <w:b/>
        </w:rPr>
      </w:pPr>
      <w:r w:rsidRPr="00180AC9">
        <w:rPr>
          <w:rFonts w:ascii="TheSansOffice" w:hAnsi="TheSansOffice"/>
          <w:b/>
        </w:rPr>
        <w:t>Geplante Referent*innen, Umfang und Dauer</w:t>
      </w:r>
    </w:p>
    <w:p w14:paraId="08DAF7EA" w14:textId="1132795E" w:rsidR="00330520" w:rsidRPr="00330520" w:rsidRDefault="00330520" w:rsidP="00330520">
      <w:pPr>
        <w:ind w:left="708"/>
        <w:rPr>
          <w:rFonts w:ascii="TheSansOffice" w:hAnsi="TheSansOffice"/>
          <w:sz w:val="24"/>
          <w:szCs w:val="24"/>
        </w:rPr>
      </w:pPr>
      <w:r w:rsidRPr="00330520">
        <w:rPr>
          <w:rFonts w:ascii="TheSansOffice" w:eastAsia="Calibri" w:hAnsi="TheSansOffice"/>
          <w:sz w:val="24"/>
          <w:szCs w:val="24"/>
        </w:rPr>
        <w:t>Das Seminar wird mit einem vierköpfigen Team durchgeführt. Dieses Team ist während der gesamten Maßnahme anwesend und ist in die Vor- und Nachbereitung des Seminars eingebunden. Die Teamer*innen bereiten gemeinsam mit Verbandsaktiven die Werkstattphasen I bis III vor und sind für diese neben der Moderation des gesamten Seminars zuständig. Lediglich für die Inputs werden Referent*innen hinzugezogen.</w:t>
      </w:r>
    </w:p>
    <w:p w14:paraId="32EBB379" w14:textId="77777777" w:rsidR="00AD2BEB" w:rsidRDefault="00AD2BEB" w:rsidP="00180AC9">
      <w:pPr>
        <w:ind w:left="708"/>
        <w:rPr>
          <w:rFonts w:ascii="TheSansOffice" w:hAnsi="TheSansOffice"/>
          <w:sz w:val="24"/>
          <w:szCs w:val="24"/>
        </w:rPr>
      </w:pPr>
    </w:p>
    <w:p w14:paraId="19B012A0" w14:textId="77777777" w:rsidR="00256CC6" w:rsidRDefault="00256CC6" w:rsidP="00180AC9">
      <w:pPr>
        <w:ind w:left="708"/>
        <w:rPr>
          <w:rFonts w:ascii="TheSansOffice" w:hAnsi="TheSansOffice"/>
          <w:sz w:val="24"/>
          <w:szCs w:val="24"/>
        </w:rPr>
      </w:pPr>
    </w:p>
    <w:p w14:paraId="12C7377E" w14:textId="77777777" w:rsidR="00256CC6" w:rsidRPr="00180AC9" w:rsidRDefault="00256CC6" w:rsidP="00180AC9">
      <w:pPr>
        <w:ind w:left="708"/>
        <w:rPr>
          <w:rFonts w:ascii="TheSansOffice" w:hAnsi="TheSansOffice"/>
          <w:sz w:val="24"/>
          <w:szCs w:val="24"/>
        </w:rPr>
      </w:pPr>
    </w:p>
    <w:p w14:paraId="00744B48" w14:textId="77777777" w:rsidR="00256CC6" w:rsidRDefault="00180AC9" w:rsidP="00256CC6">
      <w:pPr>
        <w:pStyle w:val="Listenabsatz"/>
        <w:numPr>
          <w:ilvl w:val="1"/>
          <w:numId w:val="2"/>
        </w:numPr>
        <w:rPr>
          <w:rFonts w:ascii="TheSansOffice" w:hAnsi="TheSansOffice"/>
          <w:b/>
        </w:rPr>
      </w:pPr>
      <w:r w:rsidRPr="00180AC9">
        <w:rPr>
          <w:rFonts w:ascii="TheSansOffice" w:hAnsi="TheSansOffice"/>
          <w:b/>
        </w:rPr>
        <w:lastRenderedPageBreak/>
        <w:t>Überregionale Wirkung/bundesweiter Charakter der Maßnahme</w:t>
      </w:r>
    </w:p>
    <w:p w14:paraId="77DCDB1B" w14:textId="0878B478" w:rsidR="00330520" w:rsidRPr="00256CC6" w:rsidRDefault="00330520" w:rsidP="00256CC6">
      <w:pPr>
        <w:pStyle w:val="Listenabsatz"/>
        <w:rPr>
          <w:rFonts w:ascii="TheSansOffice" w:hAnsi="TheSansOffice"/>
          <w:b/>
        </w:rPr>
      </w:pPr>
      <w:r w:rsidRPr="00256CC6">
        <w:rPr>
          <w:rFonts w:ascii="TheSansOffice" w:eastAsia="Calibri" w:hAnsi="TheSansOffice" w:cs="Times New Roman"/>
        </w:rPr>
        <w:t>Ziel des Seminars ist es, dass Student*innen aus allen Bundesländern, sich mit dem bundesweit relevanten Problem von Wohnraum und sozialen Wohnungsbau auseinandersetzen und für diskriminierende Strukturen auf dem Wohnungsmarkt sensibilisiert zu werden. Die Ergebnisse des Seminars sollen die Teilnehmer*innen an ihre jeweiligen Standorte tragen.</w:t>
      </w:r>
    </w:p>
    <w:p w14:paraId="34366BE1" w14:textId="77777777" w:rsidR="00180AC9" w:rsidRPr="00180AC9" w:rsidRDefault="00180AC9" w:rsidP="00180AC9">
      <w:pPr>
        <w:pStyle w:val="Listenabsatz"/>
        <w:rPr>
          <w:rFonts w:ascii="TheSansOffice" w:hAnsi="TheSansOffice"/>
        </w:rPr>
      </w:pPr>
    </w:p>
    <w:p w14:paraId="26D55FDF" w14:textId="77777777" w:rsidR="00180AC9" w:rsidRPr="00180AC9" w:rsidRDefault="00180AC9" w:rsidP="00180AC9">
      <w:pPr>
        <w:pStyle w:val="Listenabsatz"/>
        <w:numPr>
          <w:ilvl w:val="1"/>
          <w:numId w:val="2"/>
        </w:numPr>
        <w:rPr>
          <w:rFonts w:ascii="TheSansOffice" w:hAnsi="TheSansOffice"/>
          <w:b/>
        </w:rPr>
      </w:pPr>
      <w:r w:rsidRPr="00180AC9">
        <w:rPr>
          <w:rFonts w:ascii="TheSansOffice" w:hAnsi="TheSansOffice"/>
          <w:b/>
        </w:rPr>
        <w:t>Offenheit der Maßnahme für Nicht-Verbandsmitglieder</w:t>
      </w:r>
    </w:p>
    <w:p w14:paraId="00C847F5" w14:textId="02E4A47F" w:rsidR="00256CC6" w:rsidRPr="00256CC6" w:rsidRDefault="00256CC6" w:rsidP="00256CC6">
      <w:pPr>
        <w:pStyle w:val="Listenabsatz"/>
        <w:rPr>
          <w:rFonts w:ascii="TheSansOffice" w:hAnsi="TheSansOffice"/>
        </w:rPr>
      </w:pPr>
      <w:r w:rsidRPr="00256CC6">
        <w:rPr>
          <w:rFonts w:ascii="TheSansOffice" w:eastAsia="Calibri" w:hAnsi="TheSansOffice" w:cs="Times New Roman"/>
        </w:rPr>
        <w:t xml:space="preserve">Das Seminar steht allen interessierten Student*innen offen. Student*innen aus </w:t>
      </w:r>
      <w:proofErr w:type="spellStart"/>
      <w:r w:rsidRPr="00256CC6">
        <w:rPr>
          <w:rFonts w:ascii="TheSansOffice" w:eastAsia="Calibri" w:hAnsi="TheSansOffice" w:cs="Times New Roman"/>
        </w:rPr>
        <w:t>Studierendenschaften</w:t>
      </w:r>
      <w:proofErr w:type="spellEnd"/>
      <w:r w:rsidRPr="00256CC6">
        <w:rPr>
          <w:rFonts w:ascii="TheSansOffice" w:eastAsia="Calibri" w:hAnsi="TheSansOffice" w:cs="Times New Roman"/>
        </w:rPr>
        <w:t xml:space="preserve">, die mit Mitglied im </w:t>
      </w:r>
      <w:proofErr w:type="spellStart"/>
      <w:r w:rsidRPr="00256CC6">
        <w:rPr>
          <w:rFonts w:ascii="TheSansOffice" w:eastAsia="Calibri" w:hAnsi="TheSansOffice" w:cs="Times New Roman"/>
        </w:rPr>
        <w:t>fzs</w:t>
      </w:r>
      <w:proofErr w:type="spellEnd"/>
      <w:r w:rsidRPr="00256CC6">
        <w:rPr>
          <w:rFonts w:ascii="TheSansOffice" w:eastAsia="Calibri" w:hAnsi="TheSansOffice" w:cs="Times New Roman"/>
        </w:rPr>
        <w:t xml:space="preserve"> sind, zahlen einen reduzierten Teilnahmebeitrag, da sich ihre </w:t>
      </w:r>
      <w:proofErr w:type="spellStart"/>
      <w:r w:rsidRPr="00256CC6">
        <w:rPr>
          <w:rFonts w:ascii="TheSansOffice" w:eastAsia="Calibri" w:hAnsi="TheSansOffice" w:cs="Times New Roman"/>
        </w:rPr>
        <w:t>Studierendenschaft</w:t>
      </w:r>
      <w:proofErr w:type="spellEnd"/>
      <w:r w:rsidRPr="00256CC6">
        <w:rPr>
          <w:rFonts w:ascii="TheSansOffice" w:eastAsia="Calibri" w:hAnsi="TheSansOffice" w:cs="Times New Roman"/>
        </w:rPr>
        <w:t xml:space="preserve"> durch ihren Mitgliedbeitrag bereits an der Finanzierung des Seminars beteiligt. Für Student*innen aus </w:t>
      </w:r>
      <w:proofErr w:type="spellStart"/>
      <w:r w:rsidRPr="00256CC6">
        <w:rPr>
          <w:rFonts w:ascii="TheSansOffice" w:eastAsia="Calibri" w:hAnsi="TheSansOffice" w:cs="Times New Roman"/>
        </w:rPr>
        <w:t>Studierendenschaften</w:t>
      </w:r>
      <w:proofErr w:type="spellEnd"/>
      <w:r w:rsidRPr="00256CC6">
        <w:rPr>
          <w:rFonts w:ascii="TheSansOffice" w:eastAsia="Calibri" w:hAnsi="TheSansOffice" w:cs="Times New Roman"/>
        </w:rPr>
        <w:t xml:space="preserve">, die nicht Mitglied im </w:t>
      </w:r>
      <w:proofErr w:type="spellStart"/>
      <w:r w:rsidRPr="00256CC6">
        <w:rPr>
          <w:rFonts w:ascii="TheSansOffice" w:eastAsia="Calibri" w:hAnsi="TheSansOffice" w:cs="Times New Roman"/>
        </w:rPr>
        <w:t>fzs</w:t>
      </w:r>
      <w:proofErr w:type="spellEnd"/>
      <w:r w:rsidRPr="00256CC6">
        <w:rPr>
          <w:rFonts w:ascii="TheSansOffice" w:eastAsia="Calibri" w:hAnsi="TheSansOffice" w:cs="Times New Roman"/>
        </w:rPr>
        <w:t xml:space="preserve"> sind, fällt der volle Teilnahmebeitrag an.</w:t>
      </w:r>
    </w:p>
    <w:p w14:paraId="3A9CF776" w14:textId="77777777" w:rsidR="00180AC9" w:rsidRPr="00180AC9" w:rsidRDefault="00180AC9" w:rsidP="00180AC9">
      <w:pPr>
        <w:pStyle w:val="Listenabsatz"/>
        <w:rPr>
          <w:rFonts w:ascii="TheSansOffice" w:hAnsi="TheSansOffice"/>
          <w:b/>
        </w:rPr>
      </w:pPr>
    </w:p>
    <w:p w14:paraId="32CE3146" w14:textId="77777777" w:rsidR="00180AC9" w:rsidRPr="00180AC9" w:rsidRDefault="00180AC9" w:rsidP="00180AC9">
      <w:pPr>
        <w:pStyle w:val="Listenabsatz"/>
        <w:numPr>
          <w:ilvl w:val="0"/>
          <w:numId w:val="2"/>
        </w:numPr>
        <w:rPr>
          <w:rFonts w:ascii="TheSansOffice" w:hAnsi="TheSansOffice"/>
          <w:b/>
        </w:rPr>
      </w:pPr>
      <w:r w:rsidRPr="00180AC9">
        <w:rPr>
          <w:rFonts w:ascii="TheSansOffice" w:hAnsi="TheSansOffice"/>
          <w:b/>
        </w:rPr>
        <w:t>Vorgehensweise</w:t>
      </w:r>
    </w:p>
    <w:p w14:paraId="18FD979C" w14:textId="38E26A13" w:rsidR="00256CC6" w:rsidRPr="00256CC6" w:rsidRDefault="00256CC6" w:rsidP="00256CC6">
      <w:pPr>
        <w:ind w:left="737"/>
        <w:rPr>
          <w:rFonts w:ascii="TheSansOffice" w:hAnsi="TheSansOffice"/>
          <w:sz w:val="24"/>
          <w:szCs w:val="24"/>
        </w:rPr>
      </w:pPr>
      <w:r w:rsidRPr="00256CC6">
        <w:rPr>
          <w:rFonts w:ascii="TheSansOffice" w:eastAsia="Calibri" w:hAnsi="TheSansOffice"/>
          <w:sz w:val="24"/>
          <w:szCs w:val="24"/>
        </w:rPr>
        <w:t xml:space="preserve">Das Seminar soll mit einer kleineren Gruppe von 25 Menschen an drei Tagen an einem Wochenende stattfinden. Die Veranstaltung soll sowohl aus Inputs mit anschließender Diskussion und einer </w:t>
      </w:r>
      <w:proofErr w:type="spellStart"/>
      <w:r w:rsidRPr="00256CC6">
        <w:rPr>
          <w:rFonts w:ascii="TheSansOffice" w:eastAsia="Calibri" w:hAnsi="TheSansOffice"/>
          <w:sz w:val="24"/>
          <w:szCs w:val="24"/>
        </w:rPr>
        <w:t>Stationenphase</w:t>
      </w:r>
      <w:proofErr w:type="spellEnd"/>
      <w:r w:rsidRPr="00256CC6">
        <w:rPr>
          <w:rFonts w:ascii="TheSansOffice" w:eastAsia="Calibri" w:hAnsi="TheSansOffice"/>
          <w:sz w:val="24"/>
          <w:szCs w:val="24"/>
        </w:rPr>
        <w:t xml:space="preserve"> als auch aus Werkstattphasen bestehen, die durch 4 Teamer*innen und drei Referent*innen gestaltet werden.</w:t>
      </w:r>
    </w:p>
    <w:p w14:paraId="172595E3" w14:textId="77777777" w:rsidR="00180AC9" w:rsidRPr="00180AC9" w:rsidRDefault="00180AC9" w:rsidP="00180AC9">
      <w:pPr>
        <w:pStyle w:val="Listenabsatz"/>
        <w:rPr>
          <w:rFonts w:ascii="TheSansOffice" w:hAnsi="TheSansOffice"/>
        </w:rPr>
      </w:pPr>
    </w:p>
    <w:p w14:paraId="17F3E442" w14:textId="77777777" w:rsidR="00180AC9" w:rsidRPr="00256CC6" w:rsidRDefault="00180AC9" w:rsidP="00180AC9">
      <w:pPr>
        <w:pStyle w:val="Listenabsatz"/>
        <w:numPr>
          <w:ilvl w:val="0"/>
          <w:numId w:val="2"/>
        </w:numPr>
        <w:rPr>
          <w:rFonts w:ascii="TheSansOffice" w:hAnsi="TheSansOffice"/>
          <w:b/>
        </w:rPr>
      </w:pPr>
      <w:r w:rsidRPr="00180AC9">
        <w:rPr>
          <w:rFonts w:ascii="TheSansOffice" w:hAnsi="TheSansOffice"/>
          <w:b/>
        </w:rPr>
        <w:t>Ergebnisse</w:t>
      </w:r>
    </w:p>
    <w:p w14:paraId="2B6A390B" w14:textId="5BED2007" w:rsidR="00256CC6" w:rsidRPr="00256CC6" w:rsidRDefault="00256CC6" w:rsidP="00256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contextualSpacing/>
        <w:rPr>
          <w:rFonts w:ascii="TheSansOffice" w:hAnsi="TheSansOffice"/>
          <w:sz w:val="24"/>
          <w:szCs w:val="24"/>
        </w:rPr>
      </w:pPr>
      <w:r w:rsidRPr="00256CC6">
        <w:rPr>
          <w:rFonts w:ascii="TheSansOffice" w:eastAsia="Calibri" w:hAnsi="TheSansOffice"/>
          <w:sz w:val="24"/>
          <w:szCs w:val="24"/>
        </w:rPr>
        <w:t>Das Seminar soll die Teilnehmer*innen befähigen, in ihren Studierendenvertretungen und Initiativen klare Positionen gegen die studentische Wohnungsnot einzunehmen, das gilt insbesondere bezüglich der Einordnung der konkreten, lokalen Probleme in allgemeinere Kontexte sowie der Arbeit gegen Diskriminierung von verschiedenen Gruppen auf dem Wohnungsmarkt. Unterstützend sollen die Ergebnisse des Seminars dokumentiert und den Teilnehmer*innen sowie der Verbandsöffentlichkeit zugänglich gemacht werden.</w:t>
      </w:r>
    </w:p>
    <w:p w14:paraId="47CB4496" w14:textId="77777777" w:rsidR="00180AC9" w:rsidRPr="00256CC6" w:rsidRDefault="00180AC9" w:rsidP="00180AC9">
      <w:pPr>
        <w:ind w:left="737"/>
        <w:rPr>
          <w:rFonts w:ascii="TheSansOffice" w:hAnsi="TheSansOffice"/>
          <w:sz w:val="24"/>
          <w:szCs w:val="24"/>
        </w:rPr>
      </w:pPr>
    </w:p>
    <w:p w14:paraId="5C130EED" w14:textId="77777777" w:rsidR="00180AC9" w:rsidRPr="00256CC6" w:rsidRDefault="00180AC9" w:rsidP="00180AC9">
      <w:pPr>
        <w:pStyle w:val="Listenabsatz"/>
        <w:numPr>
          <w:ilvl w:val="0"/>
          <w:numId w:val="2"/>
        </w:numPr>
        <w:rPr>
          <w:rFonts w:ascii="TheSansOffice" w:hAnsi="TheSansOffice"/>
          <w:b/>
        </w:rPr>
      </w:pPr>
      <w:r w:rsidRPr="00256CC6">
        <w:rPr>
          <w:rFonts w:ascii="TheSansOffice" w:hAnsi="TheSansOffice"/>
          <w:b/>
        </w:rPr>
        <w:t>Publikationen</w:t>
      </w:r>
    </w:p>
    <w:p w14:paraId="6230822C" w14:textId="77777777" w:rsidR="00180AC9" w:rsidRPr="00256CC6" w:rsidRDefault="00180AC9" w:rsidP="00180AC9">
      <w:pPr>
        <w:pStyle w:val="Listenabsatz"/>
        <w:numPr>
          <w:ilvl w:val="1"/>
          <w:numId w:val="2"/>
        </w:numPr>
        <w:rPr>
          <w:rFonts w:ascii="TheSansOffice" w:hAnsi="TheSansOffice"/>
          <w:b/>
        </w:rPr>
      </w:pPr>
      <w:r w:rsidRPr="00256CC6">
        <w:rPr>
          <w:rFonts w:ascii="TheSansOffice" w:hAnsi="TheSansOffice"/>
          <w:b/>
        </w:rPr>
        <w:t>Zielgruppe</w:t>
      </w:r>
    </w:p>
    <w:p w14:paraId="08D94930" w14:textId="77777777" w:rsidR="00256CC6" w:rsidRPr="00256CC6" w:rsidRDefault="00256CC6" w:rsidP="00256CC6">
      <w:pPr>
        <w:pStyle w:val="Listenabsatz"/>
        <w:rPr>
          <w:rFonts w:ascii="TheSansOffice" w:eastAsia="Calibri" w:hAnsi="TheSansOffice" w:cs="Times New Roman"/>
        </w:rPr>
      </w:pPr>
      <w:proofErr w:type="spellStart"/>
      <w:r w:rsidRPr="00256CC6">
        <w:rPr>
          <w:rFonts w:ascii="TheSansOffice" w:eastAsia="Calibri" w:hAnsi="TheSansOffice" w:cs="Times New Roman"/>
        </w:rPr>
        <w:t>Studierendenschaften</w:t>
      </w:r>
      <w:proofErr w:type="spellEnd"/>
      <w:r w:rsidRPr="00256CC6">
        <w:rPr>
          <w:rFonts w:ascii="TheSansOffice" w:eastAsia="Calibri" w:hAnsi="TheSansOffice" w:cs="Times New Roman"/>
        </w:rPr>
        <w:t xml:space="preserve"> und an der Kampagne interessierte Gruppen</w:t>
      </w:r>
    </w:p>
    <w:p w14:paraId="3BCA5B8A" w14:textId="5294EA51" w:rsidR="00180AC9" w:rsidRPr="00256CC6" w:rsidRDefault="00180AC9" w:rsidP="00256CC6">
      <w:pPr>
        <w:pStyle w:val="Listenabsatz"/>
        <w:numPr>
          <w:ilvl w:val="1"/>
          <w:numId w:val="2"/>
        </w:numPr>
        <w:rPr>
          <w:rFonts w:ascii="TheSansOffice" w:hAnsi="TheSansOffice"/>
          <w:b/>
        </w:rPr>
      </w:pPr>
      <w:r w:rsidRPr="00256CC6">
        <w:rPr>
          <w:rFonts w:ascii="TheSansOffice" w:hAnsi="TheSansOffice"/>
          <w:b/>
        </w:rPr>
        <w:t>Verteilungskonzept (Erreichung der Zielgruppe)</w:t>
      </w:r>
    </w:p>
    <w:p w14:paraId="0D003C0F" w14:textId="632C7ABA" w:rsidR="00256CC6" w:rsidRPr="00256CC6" w:rsidRDefault="00256CC6" w:rsidP="00256CC6">
      <w:pPr>
        <w:ind w:left="720"/>
        <w:contextualSpacing/>
        <w:rPr>
          <w:rFonts w:ascii="TheSansOffice" w:hAnsi="TheSansOffice"/>
          <w:sz w:val="24"/>
          <w:szCs w:val="24"/>
        </w:rPr>
      </w:pPr>
      <w:r w:rsidRPr="00256CC6">
        <w:rPr>
          <w:rFonts w:ascii="TheSansOffice" w:eastAsia="Calibri" w:hAnsi="TheSansOffice"/>
          <w:sz w:val="24"/>
          <w:szCs w:val="24"/>
        </w:rPr>
        <w:t>Neben der intensiven online Bewerbung, werden die Flyer und Sticker im Rahmen der Arbeit der Kampagne Studis gegen Wohnungsnot verschickt und verteilt.</w:t>
      </w:r>
    </w:p>
    <w:p w14:paraId="29EB3D9E" w14:textId="77777777" w:rsidR="00180AC9" w:rsidRPr="00256CC6" w:rsidRDefault="00180AC9" w:rsidP="00180AC9">
      <w:pPr>
        <w:pStyle w:val="Listenabsatz"/>
        <w:numPr>
          <w:ilvl w:val="1"/>
          <w:numId w:val="2"/>
        </w:numPr>
        <w:rPr>
          <w:rFonts w:ascii="TheSansOffice" w:hAnsi="TheSansOffice"/>
          <w:b/>
        </w:rPr>
      </w:pPr>
      <w:r w:rsidRPr="00256CC6">
        <w:rPr>
          <w:rFonts w:ascii="TheSansOffice" w:hAnsi="TheSansOffice"/>
          <w:b/>
        </w:rPr>
        <w:t>Art und Umfang der Publikation</w:t>
      </w:r>
    </w:p>
    <w:p w14:paraId="437A51D8" w14:textId="77777777" w:rsidR="00256CC6" w:rsidRPr="00256CC6" w:rsidRDefault="00256CC6" w:rsidP="00256CC6">
      <w:pPr>
        <w:pStyle w:val="Listenabsatz"/>
        <w:rPr>
          <w:rFonts w:ascii="TheSansOffice" w:hAnsi="TheSansOffice"/>
        </w:rPr>
      </w:pPr>
      <w:r w:rsidRPr="00256CC6">
        <w:rPr>
          <w:rFonts w:ascii="TheSansOffice" w:eastAsia="Calibri" w:hAnsi="TheSansOffice"/>
        </w:rPr>
        <w:t>Flyer, Sticker</w:t>
      </w:r>
    </w:p>
    <w:p w14:paraId="7924483B" w14:textId="77777777" w:rsidR="00180AC9" w:rsidRPr="00256CC6" w:rsidRDefault="00180AC9" w:rsidP="00180AC9">
      <w:pPr>
        <w:pStyle w:val="Listenabsatz"/>
        <w:numPr>
          <w:ilvl w:val="1"/>
          <w:numId w:val="2"/>
        </w:numPr>
        <w:rPr>
          <w:rFonts w:ascii="TheSansOffice" w:hAnsi="TheSansOffice"/>
          <w:b/>
        </w:rPr>
      </w:pPr>
      <w:r w:rsidRPr="00256CC6">
        <w:rPr>
          <w:rFonts w:ascii="TheSansOffice" w:hAnsi="TheSansOffice"/>
          <w:b/>
        </w:rPr>
        <w:t>Auflagenhöhe</w:t>
      </w:r>
    </w:p>
    <w:p w14:paraId="5372A700" w14:textId="77777777" w:rsidR="00256CC6" w:rsidRPr="00256CC6" w:rsidRDefault="00256CC6" w:rsidP="00256CC6">
      <w:pPr>
        <w:pStyle w:val="Listenabsatz"/>
        <w:rPr>
          <w:rFonts w:ascii="TheSansOffice" w:hAnsi="TheSansOffice"/>
        </w:rPr>
      </w:pPr>
      <w:r w:rsidRPr="00256CC6">
        <w:rPr>
          <w:rFonts w:ascii="TheSansOffice" w:eastAsia="Calibri" w:hAnsi="TheSansOffice"/>
        </w:rPr>
        <w:t>1000 Flyer, 1000 Sticker</w:t>
      </w:r>
    </w:p>
    <w:p w14:paraId="4C1EFEEE" w14:textId="77777777" w:rsidR="00180AC9" w:rsidRPr="00256CC6" w:rsidRDefault="00180AC9" w:rsidP="00180AC9">
      <w:pPr>
        <w:pStyle w:val="Listenabsatz"/>
        <w:numPr>
          <w:ilvl w:val="1"/>
          <w:numId w:val="2"/>
        </w:numPr>
        <w:rPr>
          <w:rFonts w:ascii="TheSansOffice" w:hAnsi="TheSansOffice"/>
          <w:b/>
        </w:rPr>
      </w:pPr>
      <w:r w:rsidRPr="00256CC6">
        <w:rPr>
          <w:rFonts w:ascii="TheSansOffice" w:hAnsi="TheSansOffice"/>
          <w:b/>
        </w:rPr>
        <w:t>Gesamtkosten</w:t>
      </w:r>
    </w:p>
    <w:p w14:paraId="5C26D34A" w14:textId="6B782972" w:rsidR="00180AC9" w:rsidRPr="00256CC6" w:rsidRDefault="00256CC6" w:rsidP="00180AC9">
      <w:pPr>
        <w:pStyle w:val="Listenabsatz"/>
        <w:rPr>
          <w:rFonts w:ascii="TheSansOffice" w:hAnsi="TheSansOffice"/>
        </w:rPr>
      </w:pPr>
      <w:r w:rsidRPr="00256CC6">
        <w:rPr>
          <w:rFonts w:ascii="TheSansOffice" w:hAnsi="TheSansOffice"/>
        </w:rPr>
        <w:t>12</w:t>
      </w:r>
      <w:r w:rsidR="00180AC9" w:rsidRPr="00256CC6">
        <w:rPr>
          <w:rFonts w:ascii="TheSansOffice" w:hAnsi="TheSansOffice"/>
        </w:rPr>
        <w:t>0€</w:t>
      </w:r>
    </w:p>
    <w:p w14:paraId="5884AE20" w14:textId="77777777" w:rsidR="00180AC9" w:rsidRPr="00256CC6" w:rsidRDefault="00180AC9" w:rsidP="00180AC9">
      <w:pPr>
        <w:pStyle w:val="Listenabsatz"/>
        <w:rPr>
          <w:rFonts w:ascii="TheSansOffice" w:hAnsi="TheSansOffice"/>
        </w:rPr>
      </w:pPr>
    </w:p>
    <w:p w14:paraId="7518DF35" w14:textId="77777777" w:rsidR="00180AC9" w:rsidRPr="00256CC6" w:rsidRDefault="00180AC9" w:rsidP="00180AC9">
      <w:pPr>
        <w:pStyle w:val="Listenabsatz"/>
        <w:numPr>
          <w:ilvl w:val="0"/>
          <w:numId w:val="2"/>
        </w:numPr>
        <w:rPr>
          <w:rFonts w:ascii="TheSansOffice" w:hAnsi="TheSansOffice"/>
          <w:b/>
        </w:rPr>
      </w:pPr>
      <w:r w:rsidRPr="00256CC6">
        <w:rPr>
          <w:rFonts w:ascii="TheSansOffice" w:hAnsi="TheSansOffice"/>
          <w:b/>
        </w:rPr>
        <w:t>Vorherige Förderungen</w:t>
      </w:r>
    </w:p>
    <w:p w14:paraId="5637EF6F" w14:textId="77777777" w:rsidR="00180AC9" w:rsidRPr="00256CC6" w:rsidRDefault="00180AC9" w:rsidP="00180AC9">
      <w:pPr>
        <w:pStyle w:val="Listenabsatz"/>
        <w:rPr>
          <w:rFonts w:ascii="TheSansOffice" w:hAnsi="TheSansOffice"/>
        </w:rPr>
      </w:pPr>
      <w:r w:rsidRPr="00256CC6">
        <w:rPr>
          <w:rFonts w:ascii="TheSansOffice" w:hAnsi="TheSansOffice"/>
        </w:rPr>
        <w:t>Eine Maßnahme identischen oder ähnlichen Inhalts ist in der letzten Förderrunde gestellt worden:</w:t>
      </w:r>
      <w:r w:rsidRPr="00256CC6">
        <w:rPr>
          <w:rFonts w:ascii="TheSansOffice" w:hAnsi="TheSansOffice"/>
          <w:b/>
          <w:bCs/>
        </w:rPr>
        <w:t xml:space="preserve"> ja</w:t>
      </w:r>
    </w:p>
    <w:p w14:paraId="3AE966D7" w14:textId="18690CC5" w:rsidR="00180AC9" w:rsidRPr="00256CC6" w:rsidRDefault="00180AC9" w:rsidP="00180AC9">
      <w:pPr>
        <w:pStyle w:val="Listenabsatz"/>
        <w:rPr>
          <w:rFonts w:ascii="TheSansOffice" w:hAnsi="TheSansOffice"/>
        </w:rPr>
      </w:pPr>
      <w:r w:rsidRPr="00256CC6">
        <w:rPr>
          <w:rFonts w:ascii="TheSansOffice" w:hAnsi="TheSansOffice"/>
        </w:rPr>
        <w:t xml:space="preserve">Und als förderungswürdig angesehen worden: </w:t>
      </w:r>
      <w:r w:rsidR="00256CC6" w:rsidRPr="00256CC6">
        <w:rPr>
          <w:rFonts w:ascii="TheSansOffice" w:hAnsi="TheSansOffice"/>
          <w:b/>
          <w:bCs/>
          <w:color w:val="000000"/>
        </w:rPr>
        <w:t>nein</w:t>
      </w:r>
    </w:p>
    <w:p w14:paraId="43DF3D44" w14:textId="77777777" w:rsidR="002A608D" w:rsidRDefault="002A608D">
      <w:pPr>
        <w:rPr>
          <w:rFonts w:ascii="TheSansOffice" w:hAnsi="TheSansOffice"/>
        </w:rPr>
      </w:pPr>
    </w:p>
    <w:sectPr w:rsidR="002A608D">
      <w:headerReference w:type="default" r:id="rId8"/>
      <w:pgSz w:w="11906" w:h="16838"/>
      <w:pgMar w:top="1417" w:right="1417" w:bottom="1134" w:left="1417"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33FA" w14:textId="77777777" w:rsidR="00C65352" w:rsidRDefault="00C65352">
      <w:r>
        <w:separator/>
      </w:r>
    </w:p>
  </w:endnote>
  <w:endnote w:type="continuationSeparator" w:id="0">
    <w:p w14:paraId="4388A096" w14:textId="77777777" w:rsidR="00C65352" w:rsidRDefault="00C6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alibri">
    <w:panose1 w:val="020F0502020204030204"/>
    <w:charset w:val="00"/>
    <w:family w:val="swiss"/>
    <w:pitch w:val="variable"/>
    <w:sig w:usb0="E00002FF" w:usb1="4000ACFF" w:usb2="00000001" w:usb3="00000000" w:csb0="0000019F" w:csb1="00000000"/>
  </w:font>
  <w:font w:name="TheSansOffice">
    <w:panose1 w:val="000B0500000000000000"/>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13A8" w14:textId="77777777" w:rsidR="00C65352" w:rsidRDefault="00C65352">
      <w:r>
        <w:separator/>
      </w:r>
    </w:p>
  </w:footnote>
  <w:footnote w:type="continuationSeparator" w:id="0">
    <w:p w14:paraId="27FA6E93" w14:textId="77777777" w:rsidR="00C65352" w:rsidRDefault="00C6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7B99" w14:textId="77777777" w:rsidR="001E429C" w:rsidRDefault="00FA53B0">
    <w:pPr>
      <w:pStyle w:val="Kopfzeile"/>
      <w:jc w:val="right"/>
      <w:rPr>
        <w:b/>
        <w:sz w:val="28"/>
      </w:rPr>
    </w:pPr>
    <w:r>
      <w:rPr>
        <w:b/>
        <w:sz w:val="28"/>
      </w:rPr>
      <w:t>Anlage zu AZA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111D"/>
    <w:multiLevelType w:val="multilevel"/>
    <w:tmpl w:val="8318A2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9095B74"/>
    <w:multiLevelType w:val="multilevel"/>
    <w:tmpl w:val="E5B26F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C"/>
    <w:rsid w:val="00016E16"/>
    <w:rsid w:val="00026990"/>
    <w:rsid w:val="0007597F"/>
    <w:rsid w:val="00086F8B"/>
    <w:rsid w:val="000D5C5D"/>
    <w:rsid w:val="00176D7E"/>
    <w:rsid w:val="00180AC9"/>
    <w:rsid w:val="00194384"/>
    <w:rsid w:val="001A3A2C"/>
    <w:rsid w:val="001D34D4"/>
    <w:rsid w:val="001E429C"/>
    <w:rsid w:val="001E63A5"/>
    <w:rsid w:val="002232D4"/>
    <w:rsid w:val="00256CC6"/>
    <w:rsid w:val="002A608D"/>
    <w:rsid w:val="002C5FB2"/>
    <w:rsid w:val="00330520"/>
    <w:rsid w:val="003575F6"/>
    <w:rsid w:val="00370A61"/>
    <w:rsid w:val="003F24BE"/>
    <w:rsid w:val="003F583E"/>
    <w:rsid w:val="00421104"/>
    <w:rsid w:val="00433C6B"/>
    <w:rsid w:val="004B706C"/>
    <w:rsid w:val="004F7401"/>
    <w:rsid w:val="0053248E"/>
    <w:rsid w:val="0059097E"/>
    <w:rsid w:val="005D520E"/>
    <w:rsid w:val="005E0C76"/>
    <w:rsid w:val="00607088"/>
    <w:rsid w:val="00616E41"/>
    <w:rsid w:val="006257D5"/>
    <w:rsid w:val="00641EE9"/>
    <w:rsid w:val="00676E7A"/>
    <w:rsid w:val="00695045"/>
    <w:rsid w:val="006C71BE"/>
    <w:rsid w:val="00716486"/>
    <w:rsid w:val="0073256D"/>
    <w:rsid w:val="0078438D"/>
    <w:rsid w:val="007F643E"/>
    <w:rsid w:val="00850F3E"/>
    <w:rsid w:val="00891288"/>
    <w:rsid w:val="0091748D"/>
    <w:rsid w:val="009610D4"/>
    <w:rsid w:val="00963736"/>
    <w:rsid w:val="009E243C"/>
    <w:rsid w:val="009E3330"/>
    <w:rsid w:val="00A9711B"/>
    <w:rsid w:val="00AD2BEB"/>
    <w:rsid w:val="00AD741A"/>
    <w:rsid w:val="00B12742"/>
    <w:rsid w:val="00B373D3"/>
    <w:rsid w:val="00B41D0B"/>
    <w:rsid w:val="00B54D63"/>
    <w:rsid w:val="00B84903"/>
    <w:rsid w:val="00BD24A9"/>
    <w:rsid w:val="00BE0A99"/>
    <w:rsid w:val="00BE2431"/>
    <w:rsid w:val="00C20140"/>
    <w:rsid w:val="00C65352"/>
    <w:rsid w:val="00C845B1"/>
    <w:rsid w:val="00CD7852"/>
    <w:rsid w:val="00CE7499"/>
    <w:rsid w:val="00D220BD"/>
    <w:rsid w:val="00D72096"/>
    <w:rsid w:val="00DC315D"/>
    <w:rsid w:val="00DF17F8"/>
    <w:rsid w:val="00E31A2D"/>
    <w:rsid w:val="00E7602E"/>
    <w:rsid w:val="00EB3E01"/>
    <w:rsid w:val="00ED3F0F"/>
    <w:rsid w:val="00EF037B"/>
    <w:rsid w:val="00F07D79"/>
    <w:rsid w:val="00F76405"/>
    <w:rsid w:val="00F820F4"/>
    <w:rsid w:val="00F93B6B"/>
    <w:rsid w:val="00FA53B0"/>
    <w:rsid w:val="00FB7B42"/>
    <w:rsid w:val="00FC12F2"/>
    <w:rsid w:val="00FE439A"/>
    <w:rsid w:val="00FE72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0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lang w:eastAsia="ar-SA"/>
    </w:rPr>
  </w:style>
  <w:style w:type="paragraph" w:styleId="berschrift1">
    <w:name w:val="heading 1"/>
    <w:basedOn w:val="Standard"/>
    <w:next w:val="Standard"/>
    <w:qFormat/>
    <w:pPr>
      <w:keepNext/>
      <w:jc w:val="center"/>
      <w:outlineLvl w:val="0"/>
    </w:pPr>
    <w:rPr>
      <w:u w:val="single"/>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Absatz-Standardschriftart11111">
    <w:name w:val="WW-Absatz-Standardschriftart11111"/>
    <w:qFormat/>
  </w:style>
  <w:style w:type="character" w:styleId="Fett">
    <w:name w:val="Strong"/>
    <w:qFormat/>
    <w:rPr>
      <w:b/>
      <w:bCs/>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eastAsia="Lucida Sans Unicode" w:cs="Tahoma"/>
      <w:sz w:val="28"/>
      <w:szCs w:val="28"/>
    </w:rPr>
  </w:style>
  <w:style w:type="paragraph" w:styleId="Textkrper">
    <w:name w:val="Body Text"/>
    <w:basedOn w:val="Standard"/>
    <w:semiHidden/>
    <w:pPr>
      <w:pBdr>
        <w:top w:val="double" w:sz="2" w:space="1" w:color="000001"/>
        <w:left w:val="double" w:sz="2" w:space="1" w:color="000001"/>
        <w:bottom w:val="double" w:sz="2" w:space="1" w:color="000001"/>
        <w:right w:val="double" w:sz="2" w:space="1" w:color="000001"/>
      </w:pBdr>
      <w:tabs>
        <w:tab w:val="left" w:pos="1843"/>
      </w:tabs>
    </w:pPr>
    <w:rPr>
      <w:sz w:val="24"/>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Einrckung">
    <w:name w:val="Textkörper Einrückung"/>
    <w:basedOn w:val="Standard"/>
    <w:semiHidden/>
    <w:pPr>
      <w:jc w:val="both"/>
    </w:pPr>
  </w:style>
  <w:style w:type="paragraph" w:styleId="Textkrper2">
    <w:name w:val="Body Text 2"/>
    <w:basedOn w:val="Standard"/>
    <w:semiHidden/>
    <w:qFormat/>
    <w:pPr>
      <w:jc w:val="both"/>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Rahmeninhalt">
    <w:name w:val="Rahmeninhalt"/>
    <w:basedOn w:val="Textkrper"/>
    <w:qFormat/>
  </w:style>
  <w:style w:type="paragraph" w:styleId="StandardWeb">
    <w:name w:val="Normal (Web)"/>
    <w:basedOn w:val="Standard"/>
    <w:semiHidden/>
    <w:qFormat/>
    <w:pPr>
      <w:suppressAutoHyphens w:val="0"/>
      <w:spacing w:beforeAutospacing="1" w:after="119"/>
    </w:pPr>
    <w:rPr>
      <w:rFonts w:ascii="Times New Roman" w:hAnsi="Times New Roman"/>
      <w:sz w:val="24"/>
      <w:szCs w:val="24"/>
      <w:lang w:eastAsia="de-DE"/>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sz w:val="24"/>
      <w:szCs w:val="24"/>
      <w:lang w:eastAsia="ar-SA"/>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FA53B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53B0"/>
    <w:rPr>
      <w:rFonts w:ascii="Lucida Grande" w:hAnsi="Lucida Grande" w:cs="Lucida Grande"/>
      <w:sz w:val="18"/>
      <w:szCs w:val="18"/>
      <w:lang w:eastAsia="ar-SA"/>
    </w:rPr>
  </w:style>
  <w:style w:type="paragraph" w:customStyle="1" w:styleId="Textbody">
    <w:name w:val="Text body"/>
    <w:basedOn w:val="Standard"/>
    <w:qFormat/>
    <w:rsid w:val="00607088"/>
    <w:pPr>
      <w:spacing w:after="120"/>
      <w:textAlignment w:val="baseline"/>
    </w:pPr>
    <w:rPr>
      <w:rFonts w:cs="Arial"/>
      <w:lang w:eastAsia="zh-CN"/>
    </w:rPr>
  </w:style>
  <w:style w:type="paragraph" w:styleId="Listenabsatz">
    <w:name w:val="List Paragraph"/>
    <w:basedOn w:val="Standard"/>
    <w:qFormat/>
    <w:rsid w:val="00FE7218"/>
    <w:pPr>
      <w:suppressAutoHyphens w:val="0"/>
      <w:ind w:left="720"/>
      <w:contextualSpacing/>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lang w:eastAsia="ar-SA"/>
    </w:rPr>
  </w:style>
  <w:style w:type="paragraph" w:styleId="berschrift1">
    <w:name w:val="heading 1"/>
    <w:basedOn w:val="Standard"/>
    <w:next w:val="Standard"/>
    <w:qFormat/>
    <w:pPr>
      <w:keepNext/>
      <w:jc w:val="center"/>
      <w:outlineLvl w:val="0"/>
    </w:pPr>
    <w:rPr>
      <w:u w:val="single"/>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Absatz-Standardschriftart11111">
    <w:name w:val="WW-Absatz-Standardschriftart11111"/>
    <w:qFormat/>
  </w:style>
  <w:style w:type="character" w:styleId="Fett">
    <w:name w:val="Strong"/>
    <w:qFormat/>
    <w:rPr>
      <w:b/>
      <w:bCs/>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eastAsia="Lucida Sans Unicode" w:cs="Tahoma"/>
      <w:sz w:val="28"/>
      <w:szCs w:val="28"/>
    </w:rPr>
  </w:style>
  <w:style w:type="paragraph" w:styleId="Textkrper">
    <w:name w:val="Body Text"/>
    <w:basedOn w:val="Standard"/>
    <w:semiHidden/>
    <w:pPr>
      <w:pBdr>
        <w:top w:val="double" w:sz="2" w:space="1" w:color="000001"/>
        <w:left w:val="double" w:sz="2" w:space="1" w:color="000001"/>
        <w:bottom w:val="double" w:sz="2" w:space="1" w:color="000001"/>
        <w:right w:val="double" w:sz="2" w:space="1" w:color="000001"/>
      </w:pBdr>
      <w:tabs>
        <w:tab w:val="left" w:pos="1843"/>
      </w:tabs>
    </w:pPr>
    <w:rPr>
      <w:sz w:val="24"/>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Einrckung">
    <w:name w:val="Textkörper Einrückung"/>
    <w:basedOn w:val="Standard"/>
    <w:semiHidden/>
    <w:pPr>
      <w:jc w:val="both"/>
    </w:pPr>
  </w:style>
  <w:style w:type="paragraph" w:styleId="Textkrper2">
    <w:name w:val="Body Text 2"/>
    <w:basedOn w:val="Standard"/>
    <w:semiHidden/>
    <w:qFormat/>
    <w:pPr>
      <w:jc w:val="both"/>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Rahmeninhalt">
    <w:name w:val="Rahmeninhalt"/>
    <w:basedOn w:val="Textkrper"/>
    <w:qFormat/>
  </w:style>
  <w:style w:type="paragraph" w:styleId="StandardWeb">
    <w:name w:val="Normal (Web)"/>
    <w:basedOn w:val="Standard"/>
    <w:semiHidden/>
    <w:qFormat/>
    <w:pPr>
      <w:suppressAutoHyphens w:val="0"/>
      <w:spacing w:beforeAutospacing="1" w:after="119"/>
    </w:pPr>
    <w:rPr>
      <w:rFonts w:ascii="Times New Roman" w:hAnsi="Times New Roman"/>
      <w:sz w:val="24"/>
      <w:szCs w:val="24"/>
      <w:lang w:eastAsia="de-DE"/>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sz w:val="24"/>
      <w:szCs w:val="24"/>
      <w:lang w:eastAsia="ar-SA"/>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FA53B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53B0"/>
    <w:rPr>
      <w:rFonts w:ascii="Lucida Grande" w:hAnsi="Lucida Grande" w:cs="Lucida Grande"/>
      <w:sz w:val="18"/>
      <w:szCs w:val="18"/>
      <w:lang w:eastAsia="ar-SA"/>
    </w:rPr>
  </w:style>
  <w:style w:type="paragraph" w:customStyle="1" w:styleId="Textbody">
    <w:name w:val="Text body"/>
    <w:basedOn w:val="Standard"/>
    <w:qFormat/>
    <w:rsid w:val="00607088"/>
    <w:pPr>
      <w:spacing w:after="120"/>
      <w:textAlignment w:val="baseline"/>
    </w:pPr>
    <w:rPr>
      <w:rFonts w:cs="Arial"/>
      <w:lang w:eastAsia="zh-CN"/>
    </w:rPr>
  </w:style>
  <w:style w:type="paragraph" w:styleId="Listenabsatz">
    <w:name w:val="List Paragraph"/>
    <w:basedOn w:val="Standard"/>
    <w:qFormat/>
    <w:rsid w:val="00FE7218"/>
    <w:pPr>
      <w:suppressAutoHyphens w:val="0"/>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Anlage zu AZA 5</vt:lpstr>
    </vt:vector>
  </TitlesOfParts>
  <Company>Universität zu Köln</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 AZA 5</dc:title>
  <dc:creator>Stefanie Reichert</dc:creator>
  <cp:lastModifiedBy>Stefanie Piecha</cp:lastModifiedBy>
  <cp:revision>7</cp:revision>
  <cp:lastPrinted>2018-07-25T10:17:00Z</cp:lastPrinted>
  <dcterms:created xsi:type="dcterms:W3CDTF">2018-07-13T07:46:00Z</dcterms:created>
  <dcterms:modified xsi:type="dcterms:W3CDTF">2018-07-26T09:49:00Z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 zu Köln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