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DF" w:rsidRPr="00FB66B8" w:rsidRDefault="00192E29" w:rsidP="00A7209B">
      <w:pPr>
        <w:tabs>
          <w:tab w:val="left" w:pos="3686"/>
        </w:tabs>
        <w:jc w:val="center"/>
        <w:rPr>
          <w:spacing w:val="40"/>
          <w:sz w:val="72"/>
          <w:szCs w:val="72"/>
        </w:rPr>
      </w:pPr>
      <w:r w:rsidRPr="00FB66B8">
        <w:rPr>
          <w:noProof/>
          <w:spacing w:val="40"/>
          <w:sz w:val="72"/>
          <w:szCs w:val="72"/>
        </w:rPr>
        <w:drawing>
          <wp:anchor distT="0" distB="0" distL="114300" distR="114300" simplePos="0" relativeHeight="251657216" behindDoc="1" locked="0" layoutInCell="1" allowOverlap="1" wp14:anchorId="6D1B12BF" wp14:editId="42AB1F79">
            <wp:simplePos x="0" y="0"/>
            <wp:positionH relativeFrom="column">
              <wp:posOffset>752475</wp:posOffset>
            </wp:positionH>
            <wp:positionV relativeFrom="paragraph">
              <wp:posOffset>-37465</wp:posOffset>
            </wp:positionV>
            <wp:extent cx="4538980" cy="4096385"/>
            <wp:effectExtent l="0" t="0" r="0" b="0"/>
            <wp:wrapThrough wrapText="bothSides">
              <wp:wrapPolygon edited="0">
                <wp:start x="0" y="0"/>
                <wp:lineTo x="0" y="21496"/>
                <wp:lineTo x="21485" y="21496"/>
                <wp:lineTo x="21485" y="0"/>
                <wp:lineTo x="0" y="0"/>
              </wp:wrapPolygon>
            </wp:wrapThrough>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8980" cy="409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6B8">
        <w:rPr>
          <w:spacing w:val="40"/>
          <w:sz w:val="72"/>
          <w:szCs w:val="72"/>
        </w:rPr>
        <w:t>Zielvereinbarung</w:t>
      </w:r>
    </w:p>
    <w:p w:rsidR="00DA68D0" w:rsidRPr="00FB66B8" w:rsidRDefault="00192E29" w:rsidP="00C45BE7">
      <w:pPr>
        <w:jc w:val="center"/>
        <w:rPr>
          <w:sz w:val="72"/>
          <w:szCs w:val="72"/>
        </w:rPr>
      </w:pPr>
      <w:r w:rsidRPr="00FB66B8">
        <w:rPr>
          <w:sz w:val="72"/>
          <w:szCs w:val="72"/>
        </w:rPr>
        <w:t>2015 – 2019</w:t>
      </w:r>
    </w:p>
    <w:p w:rsidR="00192E29" w:rsidRPr="00FB66B8" w:rsidRDefault="00192E29" w:rsidP="00C45BE7">
      <w:pPr>
        <w:jc w:val="center"/>
        <w:rPr>
          <w:b/>
          <w:sz w:val="28"/>
          <w:szCs w:val="28"/>
        </w:rPr>
      </w:pPr>
    </w:p>
    <w:p w:rsidR="00192E29" w:rsidRPr="00FB66B8" w:rsidRDefault="00192E29" w:rsidP="00C45BE7">
      <w:pPr>
        <w:jc w:val="center"/>
        <w:rPr>
          <w:sz w:val="32"/>
          <w:szCs w:val="32"/>
        </w:rPr>
      </w:pPr>
      <w:r w:rsidRPr="00FB66B8">
        <w:rPr>
          <w:sz w:val="32"/>
          <w:szCs w:val="32"/>
        </w:rPr>
        <w:t xml:space="preserve">zwischen </w:t>
      </w:r>
    </w:p>
    <w:p w:rsidR="00192E29" w:rsidRPr="00FB66B8" w:rsidRDefault="00192E29" w:rsidP="00C45BE7">
      <w:pPr>
        <w:jc w:val="center"/>
        <w:rPr>
          <w:sz w:val="32"/>
          <w:szCs w:val="32"/>
        </w:rPr>
      </w:pPr>
    </w:p>
    <w:p w:rsidR="00192E29" w:rsidRPr="00FB66B8" w:rsidRDefault="00192E29" w:rsidP="00C45BE7">
      <w:pPr>
        <w:jc w:val="center"/>
        <w:rPr>
          <w:sz w:val="32"/>
          <w:szCs w:val="32"/>
        </w:rPr>
      </w:pPr>
      <w:r w:rsidRPr="00FB66B8">
        <w:rPr>
          <w:sz w:val="32"/>
          <w:szCs w:val="32"/>
        </w:rPr>
        <w:t>dem Ministerium für Wissenschaft und Wirtschaft</w:t>
      </w:r>
    </w:p>
    <w:p w:rsidR="00192E29" w:rsidRPr="00FB66B8" w:rsidRDefault="00192E29" w:rsidP="00C45BE7">
      <w:pPr>
        <w:jc w:val="center"/>
        <w:rPr>
          <w:sz w:val="32"/>
          <w:szCs w:val="32"/>
        </w:rPr>
      </w:pPr>
      <w:r w:rsidRPr="00FB66B8">
        <w:rPr>
          <w:sz w:val="32"/>
          <w:szCs w:val="32"/>
        </w:rPr>
        <w:t>des Landes Sachsen-Anhalt</w:t>
      </w:r>
    </w:p>
    <w:p w:rsidR="00192E29" w:rsidRPr="00FB66B8" w:rsidRDefault="00192E29" w:rsidP="00C45BE7">
      <w:pPr>
        <w:spacing w:before="240" w:after="240"/>
        <w:jc w:val="center"/>
        <w:rPr>
          <w:sz w:val="32"/>
          <w:szCs w:val="32"/>
        </w:rPr>
      </w:pPr>
      <w:r w:rsidRPr="00FB66B8">
        <w:rPr>
          <w:sz w:val="32"/>
          <w:szCs w:val="32"/>
        </w:rPr>
        <w:t xml:space="preserve">und </w:t>
      </w:r>
    </w:p>
    <w:p w:rsidR="00597B67" w:rsidRPr="00FB66B8" w:rsidRDefault="00192E29" w:rsidP="00C45BE7">
      <w:pPr>
        <w:jc w:val="center"/>
        <w:rPr>
          <w:sz w:val="32"/>
          <w:szCs w:val="32"/>
        </w:rPr>
      </w:pPr>
      <w:r w:rsidRPr="00FB66B8">
        <w:rPr>
          <w:sz w:val="32"/>
          <w:szCs w:val="32"/>
        </w:rPr>
        <w:t xml:space="preserve">der </w:t>
      </w:r>
      <w:r w:rsidR="00E14318">
        <w:rPr>
          <w:sz w:val="32"/>
          <w:szCs w:val="32"/>
        </w:rPr>
        <w:t>Otto-von-Guericke-Universität Magdeburg</w:t>
      </w:r>
    </w:p>
    <w:p w:rsidR="00A76EFE" w:rsidRPr="00FB66B8" w:rsidRDefault="00A76EFE" w:rsidP="00C45BE7">
      <w:pPr>
        <w:jc w:val="center"/>
        <w:rPr>
          <w:b/>
        </w:rPr>
      </w:pPr>
    </w:p>
    <w:p w:rsidR="00192E29" w:rsidRPr="00FB66B8" w:rsidRDefault="00192E29" w:rsidP="00C45BE7">
      <w:pPr>
        <w:jc w:val="center"/>
        <w:rPr>
          <w:b/>
        </w:rPr>
      </w:pPr>
    </w:p>
    <w:p w:rsidR="004D18ED" w:rsidRPr="00FB66B8" w:rsidRDefault="00192E29" w:rsidP="00C45BE7">
      <w:pPr>
        <w:jc w:val="center"/>
        <w:rPr>
          <w:b/>
        </w:rPr>
      </w:pPr>
      <w:r w:rsidRPr="00FB66B8">
        <w:rPr>
          <w:b/>
          <w:noProof/>
        </w:rPr>
        <mc:AlternateContent>
          <mc:Choice Requires="wps">
            <w:drawing>
              <wp:anchor distT="0" distB="0" distL="114300" distR="114300" simplePos="0" relativeHeight="251658240" behindDoc="0" locked="0" layoutInCell="1" allowOverlap="1" wp14:anchorId="39E348FD" wp14:editId="5F73D831">
                <wp:simplePos x="0" y="0"/>
                <wp:positionH relativeFrom="column">
                  <wp:posOffset>1986915</wp:posOffset>
                </wp:positionH>
                <wp:positionV relativeFrom="paragraph">
                  <wp:posOffset>210820</wp:posOffset>
                </wp:positionV>
                <wp:extent cx="1767205" cy="635"/>
                <wp:effectExtent l="5715" t="10795" r="825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63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6.45pt;margin-top:16.6pt;width:139.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" strokecolor="#ffc000"/>
            </w:pict>
          </mc:Fallback>
        </mc:AlternateContent>
      </w:r>
      <w:r w:rsidR="00762A39">
        <w:rPr>
          <w:b/>
          <w:noProof/>
        </w:rPr>
        <w:t>29</w:t>
      </w:r>
      <w:r w:rsidR="00444BFA" w:rsidRPr="00FB66B8">
        <w:rPr>
          <w:b/>
          <w:noProof/>
        </w:rPr>
        <w:t xml:space="preserve">. </w:t>
      </w:r>
      <w:r w:rsidR="00762A39">
        <w:rPr>
          <w:b/>
          <w:noProof/>
        </w:rPr>
        <w:t>Januar</w:t>
      </w:r>
      <w:r w:rsidR="00444BFA" w:rsidRPr="00FB66B8">
        <w:rPr>
          <w:b/>
          <w:noProof/>
        </w:rPr>
        <w:t xml:space="preserve"> 20</w:t>
      </w:r>
      <w:r w:rsidR="00E14318">
        <w:rPr>
          <w:b/>
          <w:noProof/>
        </w:rPr>
        <w:t>15</w:t>
      </w:r>
      <w:r w:rsidR="00FD2DD3" w:rsidRPr="00FB66B8">
        <w:rPr>
          <w:b/>
        </w:rPr>
        <w:br w:type="page"/>
      </w:r>
    </w:p>
    <w:p w:rsidR="005121AB" w:rsidRPr="00FB66B8" w:rsidRDefault="005121AB" w:rsidP="00C45BE7">
      <w:pPr>
        <w:pStyle w:val="berschrift3"/>
        <w:spacing w:before="960"/>
        <w:jc w:val="both"/>
        <w:rPr>
          <w:caps/>
          <w:szCs w:val="24"/>
        </w:rPr>
      </w:pPr>
      <w:r w:rsidRPr="00FB66B8">
        <w:rPr>
          <w:caps/>
          <w:szCs w:val="24"/>
        </w:rPr>
        <w:lastRenderedPageBreak/>
        <w:t>Präambel</w:t>
      </w:r>
    </w:p>
    <w:p w:rsidR="00993E68" w:rsidRPr="00FB66B8" w:rsidRDefault="00925828" w:rsidP="00993E68">
      <w:pPr>
        <w:pStyle w:val="Formatvorlage2"/>
        <w:spacing w:before="120" w:after="120"/>
        <w:rPr>
          <w:rFonts w:ascii="Arial" w:hAnsi="Arial"/>
        </w:rPr>
      </w:pPr>
      <w:r w:rsidRPr="00FB66B8">
        <w:rPr>
          <w:rFonts w:ascii="Arial" w:hAnsi="Arial"/>
        </w:rPr>
        <w:t>Ausgangspunkt</w:t>
      </w:r>
      <w:r w:rsidR="00444BFA" w:rsidRPr="00FB66B8">
        <w:rPr>
          <w:rFonts w:ascii="Arial" w:hAnsi="Arial"/>
        </w:rPr>
        <w:t xml:space="preserve"> der</w:t>
      </w:r>
      <w:r w:rsidR="00E626C8">
        <w:rPr>
          <w:rFonts w:ascii="Arial" w:hAnsi="Arial"/>
        </w:rPr>
        <w:t xml:space="preserve"> Zielvereinbarung sind die</w:t>
      </w:r>
      <w:r w:rsidR="00444BFA" w:rsidRPr="00FB66B8">
        <w:rPr>
          <w:rFonts w:ascii="Arial" w:hAnsi="Arial"/>
        </w:rPr>
        <w:t xml:space="preserve"> Empfehlungen des Wissenschaftsrates zur Weiteren</w:t>
      </w:r>
      <w:r w:rsidR="00444BFA" w:rsidRPr="00FB66B8">
        <w:rPr>
          <w:rFonts w:ascii="Arial" w:hAnsi="Arial"/>
        </w:rPr>
        <w:t>t</w:t>
      </w:r>
      <w:r w:rsidR="00444BFA" w:rsidRPr="00FB66B8">
        <w:rPr>
          <w:rFonts w:ascii="Arial" w:hAnsi="Arial"/>
        </w:rPr>
        <w:t>wicklung des Hochschulsystems des Landes Sachsen-Anhalt aus dem Jahr 2013 unter Berücksicht</w:t>
      </w:r>
      <w:r w:rsidR="00444BFA" w:rsidRPr="00FB66B8">
        <w:rPr>
          <w:rFonts w:ascii="Arial" w:hAnsi="Arial"/>
        </w:rPr>
        <w:t>i</w:t>
      </w:r>
      <w:r w:rsidR="00444BFA" w:rsidRPr="00FB66B8">
        <w:rPr>
          <w:rFonts w:ascii="Arial" w:hAnsi="Arial"/>
        </w:rPr>
        <w:t>gung der von der Landesregierung hochschulpolitisch begründeten und bedarfsorientierten Rahme</w:t>
      </w:r>
      <w:r w:rsidR="00444BFA" w:rsidRPr="00FB66B8">
        <w:rPr>
          <w:rFonts w:ascii="Arial" w:hAnsi="Arial"/>
        </w:rPr>
        <w:t>n</w:t>
      </w:r>
      <w:r w:rsidR="00444BFA" w:rsidRPr="00FB66B8">
        <w:rPr>
          <w:rFonts w:ascii="Arial" w:hAnsi="Arial"/>
        </w:rPr>
        <w:t>vorgaben</w:t>
      </w:r>
      <w:r w:rsidR="00E626C8">
        <w:rPr>
          <w:rFonts w:ascii="Arial" w:hAnsi="Arial"/>
        </w:rPr>
        <w:t>.</w:t>
      </w:r>
      <w:r w:rsidR="00444BFA" w:rsidRPr="00FB66B8">
        <w:rPr>
          <w:rFonts w:ascii="Arial" w:hAnsi="Arial"/>
        </w:rPr>
        <w:t xml:space="preserve"> Leitgedanke ist, die Hochschulen attraktiver, effizienter und damit zukunftsfest zu machen, gleichzeitig aber den Anforderungen einer Haushaltsko</w:t>
      </w:r>
      <w:r w:rsidR="00993E68" w:rsidRPr="00FB66B8">
        <w:rPr>
          <w:rFonts w:ascii="Arial" w:hAnsi="Arial"/>
        </w:rPr>
        <w:t>nsolidierung gerecht zu werden.</w:t>
      </w:r>
      <w:r w:rsidR="007578BB">
        <w:rPr>
          <w:rFonts w:ascii="Arial" w:hAnsi="Arial"/>
        </w:rPr>
        <w:t xml:space="preserve"> M</w:t>
      </w:r>
      <w:r w:rsidR="00811571">
        <w:rPr>
          <w:rFonts w:ascii="Arial" w:hAnsi="Arial"/>
        </w:rPr>
        <w:t xml:space="preserve">it </w:t>
      </w:r>
      <w:r w:rsidR="007B27A0">
        <w:rPr>
          <w:rFonts w:ascii="Arial" w:hAnsi="Arial"/>
        </w:rPr>
        <w:t xml:space="preserve">ihren </w:t>
      </w:r>
      <w:r w:rsidR="00811571">
        <w:rPr>
          <w:rFonts w:ascii="Arial" w:hAnsi="Arial"/>
        </w:rPr>
        <w:t xml:space="preserve">Hochschulentwicklungsplänen </w:t>
      </w:r>
      <w:r w:rsidR="007B27A0">
        <w:rPr>
          <w:rFonts w:ascii="Arial" w:hAnsi="Arial"/>
        </w:rPr>
        <w:t>haben</w:t>
      </w:r>
      <w:r w:rsidR="007578BB">
        <w:rPr>
          <w:rFonts w:ascii="Arial" w:hAnsi="Arial"/>
        </w:rPr>
        <w:t xml:space="preserve"> die Hochschulen die </w:t>
      </w:r>
      <w:r w:rsidR="007B27A0">
        <w:rPr>
          <w:rFonts w:ascii="Arial" w:hAnsi="Arial"/>
        </w:rPr>
        <w:t xml:space="preserve">Empfehlungen und </w:t>
      </w:r>
      <w:r w:rsidR="007578BB">
        <w:rPr>
          <w:rFonts w:ascii="Arial" w:hAnsi="Arial"/>
        </w:rPr>
        <w:t xml:space="preserve">Vorgaben </w:t>
      </w:r>
      <w:r w:rsidR="00381584">
        <w:rPr>
          <w:rFonts w:ascii="Arial" w:hAnsi="Arial"/>
        </w:rPr>
        <w:t>aufgegriffen</w:t>
      </w:r>
      <w:r w:rsidR="00811571">
        <w:rPr>
          <w:rFonts w:ascii="Arial" w:hAnsi="Arial"/>
        </w:rPr>
        <w:t>.</w:t>
      </w:r>
    </w:p>
    <w:p w:rsidR="00993E68" w:rsidRPr="00FB66B8" w:rsidRDefault="00993E68" w:rsidP="00993E68">
      <w:pPr>
        <w:pStyle w:val="Formatvorlage2"/>
        <w:spacing w:before="120" w:after="120"/>
        <w:rPr>
          <w:rFonts w:ascii="Arial" w:hAnsi="Arial"/>
        </w:rPr>
      </w:pPr>
      <w:r w:rsidRPr="00FB66B8">
        <w:rPr>
          <w:rFonts w:ascii="Arial" w:hAnsi="Arial"/>
        </w:rPr>
        <w:t xml:space="preserve">Auf dieser Grundlage schließt die </w:t>
      </w:r>
      <w:r w:rsidR="00DC6B31">
        <w:rPr>
          <w:rFonts w:ascii="Arial" w:hAnsi="Arial"/>
        </w:rPr>
        <w:t>Otto-von-Guericke-Universität Magdeburg (nachfolgend Universität</w:t>
      </w:r>
      <w:r w:rsidRPr="00FB66B8">
        <w:rPr>
          <w:rFonts w:ascii="Arial" w:hAnsi="Arial"/>
        </w:rPr>
        <w:t xml:space="preserve"> genannt) </w:t>
      </w:r>
      <w:r w:rsidRPr="00FB66B8">
        <w:rPr>
          <w:rFonts w:ascii="Arial" w:hAnsi="Arial"/>
          <w:iCs/>
        </w:rPr>
        <w:t>mit dem Ministerium für Wissenschaft und Wirtschaft</w:t>
      </w:r>
      <w:r w:rsidR="00A56E43" w:rsidRPr="00FB66B8">
        <w:rPr>
          <w:rFonts w:ascii="Arial" w:hAnsi="Arial"/>
          <w:iCs/>
        </w:rPr>
        <w:t xml:space="preserve"> des Landes Sachsen-Anhalt (nachfo</w:t>
      </w:r>
      <w:r w:rsidR="00A56E43" w:rsidRPr="00FB66B8">
        <w:rPr>
          <w:rFonts w:ascii="Arial" w:hAnsi="Arial"/>
          <w:iCs/>
        </w:rPr>
        <w:t>l</w:t>
      </w:r>
      <w:r w:rsidR="00A56E43" w:rsidRPr="00FB66B8">
        <w:rPr>
          <w:rFonts w:ascii="Arial" w:hAnsi="Arial"/>
          <w:iCs/>
        </w:rPr>
        <w:t>gend MW genannt)</w:t>
      </w:r>
      <w:r w:rsidRPr="00FB66B8">
        <w:rPr>
          <w:rFonts w:ascii="Arial" w:hAnsi="Arial"/>
          <w:iCs/>
        </w:rPr>
        <w:t xml:space="preserve"> folgende Zielvereinbarung.</w:t>
      </w:r>
    </w:p>
    <w:p w:rsidR="00743E4E" w:rsidRPr="00FB66B8" w:rsidRDefault="00993E68" w:rsidP="00C45BE7">
      <w:pPr>
        <w:pStyle w:val="Formatvorlage2"/>
        <w:spacing w:before="120" w:after="120"/>
        <w:rPr>
          <w:rFonts w:ascii="Arial" w:hAnsi="Arial"/>
        </w:rPr>
      </w:pPr>
      <w:r w:rsidRPr="00FB66B8">
        <w:rPr>
          <w:rFonts w:ascii="Arial" w:hAnsi="Arial"/>
        </w:rPr>
        <w:t xml:space="preserve">Die </w:t>
      </w:r>
      <w:r w:rsidR="00775A5F" w:rsidRPr="00FB66B8">
        <w:rPr>
          <w:rFonts w:ascii="Arial" w:hAnsi="Arial"/>
        </w:rPr>
        <w:t xml:space="preserve">Anlage </w:t>
      </w:r>
      <w:r w:rsidR="00A56E43" w:rsidRPr="00FB66B8">
        <w:rPr>
          <w:rFonts w:ascii="Arial" w:hAnsi="Arial"/>
        </w:rPr>
        <w:t>1</w:t>
      </w:r>
      <w:r w:rsidR="00775A5F" w:rsidRPr="00FB66B8">
        <w:rPr>
          <w:rFonts w:ascii="Arial" w:hAnsi="Arial"/>
        </w:rPr>
        <w:t xml:space="preserve"> (Lehrebezogene Profile)</w:t>
      </w:r>
      <w:r w:rsidR="00700EF0" w:rsidRPr="00FB66B8">
        <w:rPr>
          <w:rFonts w:ascii="Arial" w:hAnsi="Arial"/>
        </w:rPr>
        <w:t>,</w:t>
      </w:r>
      <w:r w:rsidR="00775A5F" w:rsidRPr="00FB66B8">
        <w:rPr>
          <w:rFonts w:ascii="Arial" w:hAnsi="Arial"/>
        </w:rPr>
        <w:t xml:space="preserve"> </w:t>
      </w:r>
      <w:r w:rsidR="00AD05E2" w:rsidRPr="00FB66B8">
        <w:rPr>
          <w:rFonts w:ascii="Arial" w:hAnsi="Arial"/>
        </w:rPr>
        <w:t xml:space="preserve">Anlage </w:t>
      </w:r>
      <w:r w:rsidR="00700EF0" w:rsidRPr="00FB66B8">
        <w:rPr>
          <w:rFonts w:ascii="Arial" w:hAnsi="Arial"/>
        </w:rPr>
        <w:t>2</w:t>
      </w:r>
      <w:r w:rsidR="00AD05E2" w:rsidRPr="00FB66B8">
        <w:rPr>
          <w:rFonts w:ascii="Arial" w:hAnsi="Arial"/>
        </w:rPr>
        <w:t xml:space="preserve"> (Veranschlagungs- und Bewirtschaftungsregelu</w:t>
      </w:r>
      <w:r w:rsidR="00AD05E2" w:rsidRPr="00FB66B8">
        <w:rPr>
          <w:rFonts w:ascii="Arial" w:hAnsi="Arial"/>
        </w:rPr>
        <w:t>n</w:t>
      </w:r>
      <w:r w:rsidR="00AD05E2" w:rsidRPr="00FB66B8">
        <w:rPr>
          <w:rFonts w:ascii="Arial" w:hAnsi="Arial"/>
        </w:rPr>
        <w:t>gen)</w:t>
      </w:r>
      <w:r w:rsidR="00700EF0" w:rsidRPr="00FB66B8">
        <w:rPr>
          <w:rFonts w:ascii="Arial" w:hAnsi="Arial"/>
        </w:rPr>
        <w:t>,</w:t>
      </w:r>
      <w:r w:rsidR="00785D8D" w:rsidRPr="00FB66B8">
        <w:rPr>
          <w:rFonts w:ascii="Arial" w:hAnsi="Arial"/>
        </w:rPr>
        <w:t xml:space="preserve"> Anlage </w:t>
      </w:r>
      <w:r w:rsidR="00700EF0" w:rsidRPr="00FB66B8">
        <w:rPr>
          <w:rFonts w:ascii="Arial" w:hAnsi="Arial"/>
        </w:rPr>
        <w:t>3</w:t>
      </w:r>
      <w:r w:rsidR="00785D8D" w:rsidRPr="00FB66B8">
        <w:rPr>
          <w:rFonts w:ascii="Arial" w:hAnsi="Arial"/>
        </w:rPr>
        <w:t xml:space="preserve"> (Berichterstattung: Hochschulen im Vergleich)</w:t>
      </w:r>
      <w:r w:rsidR="00700EF0" w:rsidRPr="00FB66B8">
        <w:rPr>
          <w:rFonts w:ascii="Arial" w:hAnsi="Arial"/>
        </w:rPr>
        <w:t xml:space="preserve"> und</w:t>
      </w:r>
      <w:r w:rsidR="00AD05E2" w:rsidRPr="00FB66B8">
        <w:rPr>
          <w:rFonts w:ascii="Arial" w:hAnsi="Arial"/>
        </w:rPr>
        <w:t xml:space="preserve"> </w:t>
      </w:r>
      <w:r w:rsidR="00700EF0" w:rsidRPr="00FB66B8">
        <w:rPr>
          <w:rFonts w:ascii="Arial" w:hAnsi="Arial"/>
        </w:rPr>
        <w:t xml:space="preserve">Anlage 4 (Lehrerausbildung) </w:t>
      </w:r>
      <w:r w:rsidR="00002F2D" w:rsidRPr="00FB66B8">
        <w:rPr>
          <w:rFonts w:ascii="Arial" w:hAnsi="Arial"/>
        </w:rPr>
        <w:t>sind</w:t>
      </w:r>
      <w:r w:rsidRPr="00FB66B8">
        <w:rPr>
          <w:rFonts w:ascii="Arial" w:hAnsi="Arial"/>
        </w:rPr>
        <w:t xml:space="preserve"> integraler Bestandteil dieser Zielvereinbarung.</w:t>
      </w:r>
    </w:p>
    <w:p w:rsidR="00EE65B8" w:rsidRPr="00FB66B8" w:rsidRDefault="005121AB" w:rsidP="00BA43C6">
      <w:pPr>
        <w:pStyle w:val="berschrift3"/>
        <w:numPr>
          <w:ilvl w:val="0"/>
          <w:numId w:val="6"/>
        </w:numPr>
        <w:spacing w:before="600"/>
        <w:ind w:hanging="720"/>
        <w:jc w:val="both"/>
        <w:rPr>
          <w:caps/>
          <w:szCs w:val="24"/>
        </w:rPr>
      </w:pPr>
      <w:r w:rsidRPr="00FB66B8">
        <w:rPr>
          <w:caps/>
          <w:szCs w:val="24"/>
        </w:rPr>
        <w:t>AUFGABENBEZOGENE VEREINBARUNGEN</w:t>
      </w:r>
    </w:p>
    <w:p w:rsidR="005121AB" w:rsidRPr="00FB66B8" w:rsidRDefault="00FD77CA" w:rsidP="00312A91">
      <w:pPr>
        <w:pStyle w:val="berschrift3"/>
        <w:spacing w:before="360"/>
        <w:rPr>
          <w:b w:val="0"/>
          <w:sz w:val="22"/>
          <w:szCs w:val="22"/>
        </w:rPr>
      </w:pPr>
      <w:r>
        <w:rPr>
          <w:b w:val="0"/>
          <w:sz w:val="22"/>
          <w:szCs w:val="22"/>
        </w:rPr>
        <w:t>A.1</w:t>
      </w:r>
      <w:r>
        <w:rPr>
          <w:b w:val="0"/>
          <w:sz w:val="22"/>
          <w:szCs w:val="22"/>
        </w:rPr>
        <w:tab/>
      </w:r>
      <w:r w:rsidR="00B850D2">
        <w:rPr>
          <w:b w:val="0"/>
          <w:sz w:val="22"/>
          <w:szCs w:val="22"/>
        </w:rPr>
        <w:t>Aufgabenbezogene Vereinbarungen a</w:t>
      </w:r>
      <w:r w:rsidR="00EE65B8" w:rsidRPr="00FB66B8">
        <w:rPr>
          <w:b w:val="0"/>
          <w:sz w:val="22"/>
          <w:szCs w:val="22"/>
        </w:rPr>
        <w:t>lle</w:t>
      </w:r>
      <w:r w:rsidR="00B850D2">
        <w:rPr>
          <w:b w:val="0"/>
          <w:sz w:val="22"/>
          <w:szCs w:val="22"/>
        </w:rPr>
        <w:t>r</w:t>
      </w:r>
      <w:r w:rsidR="001517A7" w:rsidRPr="00FB66B8">
        <w:rPr>
          <w:b w:val="0"/>
          <w:sz w:val="22"/>
          <w:szCs w:val="22"/>
        </w:rPr>
        <w:t xml:space="preserve"> </w:t>
      </w:r>
      <w:r w:rsidR="00993E68" w:rsidRPr="00FB66B8">
        <w:rPr>
          <w:b w:val="0"/>
          <w:sz w:val="22"/>
          <w:szCs w:val="22"/>
        </w:rPr>
        <w:t>Hochschulen</w:t>
      </w:r>
    </w:p>
    <w:p w:rsidR="00C469D8" w:rsidRDefault="004A4261" w:rsidP="00E00922">
      <w:pPr>
        <w:pStyle w:val="Formatvorlage2"/>
        <w:spacing w:before="120" w:after="120"/>
        <w:rPr>
          <w:rFonts w:ascii="Arial" w:hAnsi="Arial"/>
        </w:rPr>
      </w:pPr>
      <w:r w:rsidRPr="00FB66B8">
        <w:rPr>
          <w:rFonts w:ascii="Arial" w:hAnsi="Arial"/>
        </w:rPr>
        <w:t>(1)</w:t>
      </w:r>
      <w:r w:rsidR="00E00922" w:rsidRPr="00FB66B8">
        <w:rPr>
          <w:rFonts w:ascii="Arial" w:hAnsi="Arial"/>
        </w:rPr>
        <w:t xml:space="preserve"> Die Hochschulen </w:t>
      </w:r>
      <w:r w:rsidR="005172DB">
        <w:rPr>
          <w:rFonts w:ascii="Arial" w:hAnsi="Arial"/>
        </w:rPr>
        <w:t>ergreifen geeignete Maßnahmen</w:t>
      </w:r>
      <w:r w:rsidR="00A33543">
        <w:rPr>
          <w:rFonts w:ascii="Arial" w:hAnsi="Arial"/>
        </w:rPr>
        <w:t>, um</w:t>
      </w:r>
      <w:r w:rsidR="005172DB">
        <w:rPr>
          <w:rFonts w:ascii="Arial" w:hAnsi="Arial"/>
        </w:rPr>
        <w:t xml:space="preserve"> die für den Hochschulpakt 2020 geforde</w:t>
      </w:r>
      <w:r w:rsidR="005172DB">
        <w:rPr>
          <w:rFonts w:ascii="Arial" w:hAnsi="Arial"/>
        </w:rPr>
        <w:t>r</w:t>
      </w:r>
      <w:r w:rsidR="005172DB">
        <w:rPr>
          <w:rFonts w:ascii="Arial" w:hAnsi="Arial"/>
        </w:rPr>
        <w:t>te</w:t>
      </w:r>
      <w:r w:rsidR="00A33543">
        <w:rPr>
          <w:rFonts w:ascii="Arial" w:hAnsi="Arial"/>
        </w:rPr>
        <w:t>n</w:t>
      </w:r>
      <w:r w:rsidR="005172DB">
        <w:rPr>
          <w:rFonts w:ascii="Arial" w:hAnsi="Arial"/>
        </w:rPr>
        <w:t xml:space="preserve"> Zielstellung</w:t>
      </w:r>
      <w:r w:rsidR="00C469D8">
        <w:rPr>
          <w:rFonts w:ascii="Arial" w:hAnsi="Arial"/>
        </w:rPr>
        <w:t>en zu erreichen.</w:t>
      </w:r>
      <w:r w:rsidR="007F345A">
        <w:rPr>
          <w:rFonts w:ascii="Arial" w:hAnsi="Arial"/>
        </w:rPr>
        <w:t xml:space="preserve"> </w:t>
      </w:r>
      <w:r w:rsidR="007F345A" w:rsidRPr="007F345A">
        <w:rPr>
          <w:rFonts w:ascii="Arial" w:hAnsi="Arial"/>
        </w:rPr>
        <w:t xml:space="preserve">Es liegt im Interesse des Landes wie der Hochschulen, ein Absinken unter die </w:t>
      </w:r>
      <w:r w:rsidR="007A4808">
        <w:rPr>
          <w:rFonts w:ascii="Arial" w:hAnsi="Arial"/>
        </w:rPr>
        <w:t>Studienanfängerzahl entsprechend der KMK-Vorausberechnung 2014</w:t>
      </w:r>
      <w:r w:rsidR="007F345A" w:rsidRPr="007F345A">
        <w:rPr>
          <w:rFonts w:ascii="Arial" w:hAnsi="Arial"/>
        </w:rPr>
        <w:t>, wie sie in den Ve</w:t>
      </w:r>
      <w:r w:rsidR="007F345A" w:rsidRPr="007F345A">
        <w:rPr>
          <w:rFonts w:ascii="Arial" w:hAnsi="Arial"/>
        </w:rPr>
        <w:t>r</w:t>
      </w:r>
      <w:r w:rsidR="007F345A" w:rsidRPr="007F345A">
        <w:rPr>
          <w:rFonts w:ascii="Arial" w:hAnsi="Arial"/>
        </w:rPr>
        <w:t>waltungsvereinbarung zum Hochschulpakt 2020 festgelegt ist, zu vermeiden</w:t>
      </w:r>
      <w:r w:rsidR="007F345A">
        <w:rPr>
          <w:rFonts w:ascii="Arial" w:hAnsi="Arial"/>
        </w:rPr>
        <w:t>.</w:t>
      </w:r>
    </w:p>
    <w:p w:rsidR="004F31AE" w:rsidRPr="00FB66B8" w:rsidRDefault="004A4261" w:rsidP="00E00922">
      <w:pPr>
        <w:pStyle w:val="Formatvorlage2"/>
        <w:spacing w:before="120" w:after="120"/>
        <w:rPr>
          <w:rFonts w:ascii="Arial" w:hAnsi="Arial"/>
        </w:rPr>
      </w:pPr>
      <w:r w:rsidRPr="00FB66B8">
        <w:rPr>
          <w:rFonts w:ascii="Arial" w:hAnsi="Arial"/>
        </w:rPr>
        <w:t>(</w:t>
      </w:r>
      <w:r w:rsidR="00E00922" w:rsidRPr="00FB66B8">
        <w:rPr>
          <w:rFonts w:ascii="Arial" w:hAnsi="Arial"/>
        </w:rPr>
        <w:t>2</w:t>
      </w:r>
      <w:r w:rsidRPr="00FB66B8">
        <w:rPr>
          <w:rFonts w:ascii="Arial" w:hAnsi="Arial"/>
        </w:rPr>
        <w:t>)</w:t>
      </w:r>
      <w:r w:rsidR="0072633D" w:rsidRPr="00FB66B8">
        <w:rPr>
          <w:rFonts w:ascii="Arial" w:hAnsi="Arial"/>
        </w:rPr>
        <w:t xml:space="preserve"> </w:t>
      </w:r>
      <w:r w:rsidR="00EA6864" w:rsidRPr="00FB66B8">
        <w:rPr>
          <w:rFonts w:ascii="Arial" w:hAnsi="Arial"/>
        </w:rPr>
        <w:t>Bezüglich</w:t>
      </w:r>
      <w:r w:rsidR="0072633D" w:rsidRPr="00FB66B8">
        <w:rPr>
          <w:rFonts w:ascii="Arial" w:hAnsi="Arial"/>
        </w:rPr>
        <w:t xml:space="preserve"> der Koordinierung und Abstimmung </w:t>
      </w:r>
      <w:r w:rsidR="007171F1" w:rsidRPr="00FB66B8">
        <w:rPr>
          <w:rFonts w:ascii="Arial" w:hAnsi="Arial"/>
        </w:rPr>
        <w:t xml:space="preserve">zu </w:t>
      </w:r>
      <w:r w:rsidR="0072633D" w:rsidRPr="00FB66B8">
        <w:rPr>
          <w:rFonts w:ascii="Arial" w:hAnsi="Arial"/>
        </w:rPr>
        <w:t>Studiengänge</w:t>
      </w:r>
      <w:r w:rsidR="007171F1" w:rsidRPr="00FB66B8">
        <w:rPr>
          <w:rFonts w:ascii="Arial" w:hAnsi="Arial"/>
        </w:rPr>
        <w:t>n</w:t>
      </w:r>
      <w:r w:rsidR="0072633D" w:rsidRPr="00FB66B8">
        <w:rPr>
          <w:rFonts w:ascii="Arial" w:hAnsi="Arial"/>
        </w:rPr>
        <w:t xml:space="preserve"> in den Bereichen </w:t>
      </w:r>
      <w:r w:rsidR="00064408" w:rsidRPr="00FB66B8">
        <w:rPr>
          <w:rFonts w:ascii="Arial" w:hAnsi="Arial"/>
        </w:rPr>
        <w:t>Ingenieurwi</w:t>
      </w:r>
      <w:r w:rsidR="00064408" w:rsidRPr="00FB66B8">
        <w:rPr>
          <w:rFonts w:ascii="Arial" w:hAnsi="Arial"/>
        </w:rPr>
        <w:t>s</w:t>
      </w:r>
      <w:r w:rsidR="00064408" w:rsidRPr="00FB66B8">
        <w:rPr>
          <w:rFonts w:ascii="Arial" w:hAnsi="Arial"/>
        </w:rPr>
        <w:t xml:space="preserve">senschaften, Agrarwissenschaften, </w:t>
      </w:r>
      <w:r w:rsidR="0072633D" w:rsidRPr="00FB66B8">
        <w:rPr>
          <w:rFonts w:ascii="Arial" w:hAnsi="Arial"/>
        </w:rPr>
        <w:t>Soziale Arbeit, Informatik, Medienwissenschaften und Wir</w:t>
      </w:r>
      <w:r w:rsidR="0072633D" w:rsidRPr="00FB66B8">
        <w:rPr>
          <w:rFonts w:ascii="Arial" w:hAnsi="Arial"/>
        </w:rPr>
        <w:t>t</w:t>
      </w:r>
      <w:r w:rsidR="0072633D" w:rsidRPr="00FB66B8">
        <w:rPr>
          <w:rFonts w:ascii="Arial" w:hAnsi="Arial"/>
        </w:rPr>
        <w:t>schaftswissenschaften setzen die</w:t>
      </w:r>
      <w:r w:rsidR="00EA6864" w:rsidRPr="00FB66B8">
        <w:rPr>
          <w:rFonts w:ascii="Arial" w:hAnsi="Arial"/>
        </w:rPr>
        <w:t xml:space="preserve"> Hochschulen</w:t>
      </w:r>
      <w:r w:rsidR="0072633D" w:rsidRPr="00FB66B8">
        <w:rPr>
          <w:rFonts w:ascii="Arial" w:hAnsi="Arial"/>
        </w:rPr>
        <w:t xml:space="preserve"> die</w:t>
      </w:r>
      <w:r w:rsidR="00764FD5" w:rsidRPr="00FB66B8">
        <w:rPr>
          <w:rFonts w:ascii="Arial" w:hAnsi="Arial"/>
        </w:rPr>
        <w:t>,</w:t>
      </w:r>
      <w:r w:rsidR="0072633D" w:rsidRPr="00FB66B8">
        <w:rPr>
          <w:rFonts w:ascii="Arial" w:hAnsi="Arial"/>
        </w:rPr>
        <w:t xml:space="preserve"> in den </w:t>
      </w:r>
      <w:r w:rsidR="00B8613A" w:rsidRPr="00FB66B8">
        <w:rPr>
          <w:rFonts w:ascii="Arial" w:hAnsi="Arial"/>
        </w:rPr>
        <w:t xml:space="preserve">zwischen ihnen abgestimmten </w:t>
      </w:r>
      <w:r w:rsidR="00E00922" w:rsidRPr="00FB66B8">
        <w:rPr>
          <w:rFonts w:ascii="Arial" w:hAnsi="Arial"/>
        </w:rPr>
        <w:t>D</w:t>
      </w:r>
      <w:r w:rsidR="0072633D" w:rsidRPr="00FB66B8">
        <w:rPr>
          <w:rFonts w:ascii="Arial" w:hAnsi="Arial"/>
        </w:rPr>
        <w:t>okume</w:t>
      </w:r>
      <w:r w:rsidR="0072633D" w:rsidRPr="00FB66B8">
        <w:rPr>
          <w:rFonts w:ascii="Arial" w:hAnsi="Arial"/>
        </w:rPr>
        <w:t>n</w:t>
      </w:r>
      <w:r w:rsidR="0072633D" w:rsidRPr="00FB66B8">
        <w:rPr>
          <w:rFonts w:ascii="Arial" w:hAnsi="Arial"/>
        </w:rPr>
        <w:t>ten</w:t>
      </w:r>
      <w:r w:rsidR="00764FD5" w:rsidRPr="00FB66B8">
        <w:rPr>
          <w:rFonts w:ascii="Arial" w:hAnsi="Arial"/>
        </w:rPr>
        <w:t>, festgelegten</w:t>
      </w:r>
      <w:r w:rsidR="00B8613A" w:rsidRPr="00FB66B8">
        <w:rPr>
          <w:rFonts w:ascii="Arial" w:hAnsi="Arial"/>
        </w:rPr>
        <w:t xml:space="preserve"> </w:t>
      </w:r>
      <w:r w:rsidR="0072633D" w:rsidRPr="00FB66B8">
        <w:rPr>
          <w:rFonts w:ascii="Arial" w:hAnsi="Arial"/>
        </w:rPr>
        <w:t>Vereinbarungen und Regelungen um.</w:t>
      </w:r>
    </w:p>
    <w:p w:rsidR="00E00922" w:rsidRPr="00FB66B8" w:rsidRDefault="004A4261" w:rsidP="00993E68">
      <w:pPr>
        <w:pStyle w:val="Formatvorlage2"/>
        <w:spacing w:before="120" w:after="120"/>
        <w:rPr>
          <w:rFonts w:ascii="Arial" w:hAnsi="Arial"/>
        </w:rPr>
      </w:pPr>
      <w:r w:rsidRPr="00FB66B8">
        <w:rPr>
          <w:rFonts w:ascii="Arial" w:hAnsi="Arial"/>
        </w:rPr>
        <w:t>(</w:t>
      </w:r>
      <w:r w:rsidR="00E00922" w:rsidRPr="00FB66B8">
        <w:rPr>
          <w:rFonts w:ascii="Arial" w:hAnsi="Arial"/>
        </w:rPr>
        <w:t>3</w:t>
      </w:r>
      <w:r w:rsidRPr="00FB66B8">
        <w:rPr>
          <w:rFonts w:ascii="Arial" w:hAnsi="Arial"/>
        </w:rPr>
        <w:t>)</w:t>
      </w:r>
      <w:r w:rsidR="00E00922" w:rsidRPr="00FB66B8">
        <w:rPr>
          <w:rFonts w:ascii="Arial" w:hAnsi="Arial"/>
        </w:rPr>
        <w:t xml:space="preserve"> Innerhalb der lehrbezogenen Profile </w:t>
      </w:r>
      <w:r w:rsidR="00775A5F" w:rsidRPr="00FB66B8">
        <w:rPr>
          <w:rFonts w:ascii="Arial" w:hAnsi="Arial"/>
        </w:rPr>
        <w:t>(</w:t>
      </w:r>
      <w:commentRangeStart w:id="0"/>
      <w:r w:rsidR="00775A5F" w:rsidRPr="00441EE1">
        <w:rPr>
          <w:rFonts w:ascii="Arial" w:hAnsi="Arial"/>
          <w:highlight w:val="yellow"/>
        </w:rPr>
        <w:t>Anlage 1</w:t>
      </w:r>
      <w:commentRangeEnd w:id="0"/>
      <w:r w:rsidR="00441EE1">
        <w:rPr>
          <w:rStyle w:val="Kommentarzeichen"/>
          <w:rFonts w:ascii="Arial" w:eastAsia="Calibri" w:hAnsi="Arial"/>
        </w:rPr>
        <w:commentReference w:id="0"/>
      </w:r>
      <w:r w:rsidR="00775A5F" w:rsidRPr="00441EE1">
        <w:rPr>
          <w:rFonts w:ascii="Arial" w:hAnsi="Arial"/>
        </w:rPr>
        <w:t>)</w:t>
      </w:r>
      <w:r w:rsidR="00E00922" w:rsidRPr="00441EE1">
        <w:rPr>
          <w:rFonts w:ascii="Arial" w:hAnsi="Arial"/>
        </w:rPr>
        <w:t xml:space="preserve"> </w:t>
      </w:r>
      <w:r w:rsidR="00E00922" w:rsidRPr="00FB66B8">
        <w:rPr>
          <w:rFonts w:ascii="Arial" w:hAnsi="Arial"/>
        </w:rPr>
        <w:t>k</w:t>
      </w:r>
      <w:r w:rsidR="00D5173A">
        <w:rPr>
          <w:rFonts w:ascii="Arial" w:hAnsi="Arial"/>
        </w:rPr>
        <w:t>ö</w:t>
      </w:r>
      <w:r w:rsidR="00E00922" w:rsidRPr="00FB66B8">
        <w:rPr>
          <w:rFonts w:ascii="Arial" w:hAnsi="Arial"/>
        </w:rPr>
        <w:t>nn</w:t>
      </w:r>
      <w:r w:rsidR="00D5173A">
        <w:rPr>
          <w:rFonts w:ascii="Arial" w:hAnsi="Arial"/>
        </w:rPr>
        <w:t>en</w:t>
      </w:r>
      <w:r w:rsidR="00E00922" w:rsidRPr="00FB66B8">
        <w:rPr>
          <w:rFonts w:ascii="Arial" w:hAnsi="Arial"/>
        </w:rPr>
        <w:t xml:space="preserve"> </w:t>
      </w:r>
      <w:r w:rsidR="00F547BC" w:rsidRPr="00FB66B8">
        <w:rPr>
          <w:rFonts w:ascii="Arial" w:hAnsi="Arial"/>
        </w:rPr>
        <w:t>die Hochschule</w:t>
      </w:r>
      <w:r w:rsidR="00D5173A">
        <w:rPr>
          <w:rFonts w:ascii="Arial" w:hAnsi="Arial"/>
        </w:rPr>
        <w:t>n</w:t>
      </w:r>
      <w:r w:rsidR="00F547BC" w:rsidRPr="00FB66B8">
        <w:rPr>
          <w:rFonts w:ascii="Arial" w:hAnsi="Arial"/>
        </w:rPr>
        <w:t xml:space="preserve"> </w:t>
      </w:r>
      <w:r w:rsidR="00E00922" w:rsidRPr="00FB66B8">
        <w:rPr>
          <w:rFonts w:ascii="Arial" w:hAnsi="Arial"/>
        </w:rPr>
        <w:t>neue Studiengänge e</w:t>
      </w:r>
      <w:r w:rsidR="00E00922" w:rsidRPr="00FB66B8">
        <w:rPr>
          <w:rFonts w:ascii="Arial" w:hAnsi="Arial"/>
        </w:rPr>
        <w:t>r</w:t>
      </w:r>
      <w:r w:rsidR="00E00922" w:rsidRPr="00FB66B8">
        <w:rPr>
          <w:rFonts w:ascii="Arial" w:hAnsi="Arial"/>
        </w:rPr>
        <w:t>richten. Die Hochschule</w:t>
      </w:r>
      <w:r w:rsidR="00D5173A">
        <w:rPr>
          <w:rFonts w:ascii="Arial" w:hAnsi="Arial"/>
        </w:rPr>
        <w:t>n</w:t>
      </w:r>
      <w:r w:rsidR="00E00922" w:rsidRPr="00FB66B8">
        <w:rPr>
          <w:rFonts w:ascii="Arial" w:hAnsi="Arial"/>
        </w:rPr>
        <w:t xml:space="preserve"> </w:t>
      </w:r>
      <w:r w:rsidR="007F345A" w:rsidRPr="00FB66B8">
        <w:rPr>
          <w:rFonts w:ascii="Arial" w:hAnsi="Arial"/>
        </w:rPr>
        <w:t>gewährleisten</w:t>
      </w:r>
      <w:r w:rsidR="00E00922" w:rsidRPr="00FB66B8">
        <w:rPr>
          <w:rFonts w:ascii="Arial" w:hAnsi="Arial"/>
        </w:rPr>
        <w:t xml:space="preserve"> die Vereinbarkeit mit dem Budget sowie die Transparenz der Ressourcenbereitstellung gegenüber dem </w:t>
      </w:r>
      <w:r w:rsidR="00A56E43" w:rsidRPr="00FB66B8">
        <w:rPr>
          <w:rFonts w:ascii="Arial" w:hAnsi="Arial"/>
        </w:rPr>
        <w:t>MW</w:t>
      </w:r>
      <w:r w:rsidR="00F547BC" w:rsidRPr="00FB66B8">
        <w:rPr>
          <w:rFonts w:ascii="Arial" w:hAnsi="Arial"/>
        </w:rPr>
        <w:t xml:space="preserve">. </w:t>
      </w:r>
      <w:r w:rsidR="00E00922" w:rsidRPr="00FB66B8">
        <w:rPr>
          <w:rFonts w:ascii="Arial" w:hAnsi="Arial"/>
        </w:rPr>
        <w:t>Studiengänge gelten als genehmigt, insofern sie mit diesen Profilen übereinstimmen.</w:t>
      </w:r>
    </w:p>
    <w:p w:rsidR="00A72380" w:rsidRPr="00FB66B8" w:rsidRDefault="004A4261" w:rsidP="00CD3854">
      <w:pPr>
        <w:pStyle w:val="Formatvorlage2"/>
        <w:spacing w:before="120" w:after="120"/>
        <w:rPr>
          <w:rFonts w:ascii="Arial" w:hAnsi="Arial"/>
        </w:rPr>
      </w:pPr>
      <w:r w:rsidRPr="00FB66B8">
        <w:rPr>
          <w:rFonts w:ascii="Arial" w:hAnsi="Arial"/>
        </w:rPr>
        <w:t>(</w:t>
      </w:r>
      <w:r w:rsidR="000774B1" w:rsidRPr="00FB66B8">
        <w:rPr>
          <w:rFonts w:ascii="Arial" w:hAnsi="Arial"/>
        </w:rPr>
        <w:t>4</w:t>
      </w:r>
      <w:r w:rsidRPr="00FB66B8">
        <w:rPr>
          <w:rFonts w:ascii="Arial" w:hAnsi="Arial"/>
        </w:rPr>
        <w:t>)</w:t>
      </w:r>
      <w:r w:rsidR="00A72380" w:rsidRPr="00FB66B8">
        <w:rPr>
          <w:rFonts w:ascii="Arial" w:hAnsi="Arial"/>
        </w:rPr>
        <w:t xml:space="preserve"> </w:t>
      </w:r>
      <w:r w:rsidR="00CD3854" w:rsidRPr="00FB66B8">
        <w:rPr>
          <w:rFonts w:ascii="Arial" w:hAnsi="Arial"/>
        </w:rPr>
        <w:t xml:space="preserve">Die Hochschulen </w:t>
      </w:r>
      <w:r w:rsidR="00753DEF">
        <w:rPr>
          <w:rFonts w:ascii="Arial" w:hAnsi="Arial"/>
        </w:rPr>
        <w:t xml:space="preserve">leiten </w:t>
      </w:r>
      <w:r w:rsidR="00CD3854" w:rsidRPr="00FB66B8">
        <w:rPr>
          <w:rFonts w:ascii="Arial" w:hAnsi="Arial"/>
        </w:rPr>
        <w:t>ihre Akkreditierungs</w:t>
      </w:r>
      <w:r w:rsidR="00753DEF">
        <w:rPr>
          <w:rFonts w:ascii="Arial" w:hAnsi="Arial"/>
        </w:rPr>
        <w:t>verfahren</w:t>
      </w:r>
      <w:r w:rsidR="00CD3854" w:rsidRPr="00FB66B8">
        <w:rPr>
          <w:rFonts w:ascii="Arial" w:hAnsi="Arial"/>
        </w:rPr>
        <w:t xml:space="preserve"> so zeitgerecht</w:t>
      </w:r>
      <w:r w:rsidR="00753DEF">
        <w:rPr>
          <w:rFonts w:ascii="Arial" w:hAnsi="Arial"/>
        </w:rPr>
        <w:t xml:space="preserve"> ein</w:t>
      </w:r>
      <w:r w:rsidR="00CD3854" w:rsidRPr="00FB66B8">
        <w:rPr>
          <w:rFonts w:ascii="Arial" w:hAnsi="Arial"/>
        </w:rPr>
        <w:t xml:space="preserve">, dass eine Akkreditierung spätestens mit der letzten Hochschulprüfung </w:t>
      </w:r>
      <w:r w:rsidR="007B27A0">
        <w:rPr>
          <w:rFonts w:ascii="Arial" w:hAnsi="Arial"/>
        </w:rPr>
        <w:t>der ersten Absolventin/</w:t>
      </w:r>
      <w:r w:rsidR="00CD3854" w:rsidRPr="00FB66B8">
        <w:rPr>
          <w:rFonts w:ascii="Arial" w:hAnsi="Arial"/>
        </w:rPr>
        <w:t>des ersten Absolventen für den jeweiligen Studiengang gewährleistet ist</w:t>
      </w:r>
      <w:r w:rsidR="00753DEF">
        <w:rPr>
          <w:rFonts w:ascii="Arial" w:hAnsi="Arial"/>
        </w:rPr>
        <w:t xml:space="preserve"> und weisen dies rechtzeitig nach</w:t>
      </w:r>
      <w:r w:rsidR="00CD3854" w:rsidRPr="00FB66B8">
        <w:rPr>
          <w:rFonts w:ascii="Arial" w:hAnsi="Arial"/>
        </w:rPr>
        <w:t xml:space="preserve">. </w:t>
      </w:r>
      <w:r w:rsidR="00753DEF">
        <w:rPr>
          <w:rFonts w:ascii="Arial" w:hAnsi="Arial"/>
        </w:rPr>
        <w:t>D</w:t>
      </w:r>
      <w:r w:rsidR="00753DEF" w:rsidRPr="00FB66B8">
        <w:rPr>
          <w:rFonts w:ascii="Arial" w:hAnsi="Arial"/>
        </w:rPr>
        <w:t xml:space="preserve">ie Qualitätssicherung </w:t>
      </w:r>
      <w:r w:rsidR="00753DEF">
        <w:rPr>
          <w:rFonts w:ascii="Arial" w:hAnsi="Arial"/>
        </w:rPr>
        <w:t>bei</w:t>
      </w:r>
      <w:r w:rsidR="00CD3854" w:rsidRPr="00FB66B8">
        <w:rPr>
          <w:rFonts w:ascii="Arial" w:hAnsi="Arial"/>
        </w:rPr>
        <w:t xml:space="preserve"> Zertifikatsangeboten </w:t>
      </w:r>
      <w:r w:rsidR="00753DEF">
        <w:rPr>
          <w:rFonts w:ascii="Arial" w:hAnsi="Arial"/>
        </w:rPr>
        <w:t>weisen</w:t>
      </w:r>
      <w:r w:rsidR="00CD3854" w:rsidRPr="00FB66B8">
        <w:rPr>
          <w:rFonts w:ascii="Arial" w:hAnsi="Arial"/>
        </w:rPr>
        <w:t xml:space="preserve"> die Hochschulen in geeigneter Weise </w:t>
      </w:r>
      <w:r w:rsidR="00753DEF">
        <w:rPr>
          <w:rFonts w:ascii="Arial" w:hAnsi="Arial"/>
        </w:rPr>
        <w:t>nach.</w:t>
      </w:r>
    </w:p>
    <w:p w:rsidR="007B7156" w:rsidRPr="00FB66B8" w:rsidRDefault="004A4261" w:rsidP="00993E68">
      <w:pPr>
        <w:pStyle w:val="Formatvorlage2"/>
        <w:spacing w:before="120" w:after="120"/>
        <w:rPr>
          <w:rFonts w:ascii="Arial" w:hAnsi="Arial"/>
        </w:rPr>
      </w:pPr>
      <w:r w:rsidRPr="00FB66B8">
        <w:rPr>
          <w:rFonts w:ascii="Arial" w:hAnsi="Arial"/>
        </w:rPr>
        <w:t>(</w:t>
      </w:r>
      <w:r w:rsidR="000774B1" w:rsidRPr="00FB66B8">
        <w:rPr>
          <w:rFonts w:ascii="Arial" w:hAnsi="Arial"/>
        </w:rPr>
        <w:t>5</w:t>
      </w:r>
      <w:r w:rsidRPr="00FB66B8">
        <w:rPr>
          <w:rFonts w:ascii="Arial" w:hAnsi="Arial"/>
        </w:rPr>
        <w:t>)</w:t>
      </w:r>
      <w:r w:rsidR="00182701" w:rsidRPr="00FB66B8">
        <w:rPr>
          <w:rFonts w:ascii="Arial" w:hAnsi="Arial"/>
        </w:rPr>
        <w:t xml:space="preserve"> </w:t>
      </w:r>
      <w:r w:rsidR="00404AD7" w:rsidRPr="00FB66B8">
        <w:rPr>
          <w:rFonts w:ascii="Arial" w:hAnsi="Arial"/>
        </w:rPr>
        <w:t>Schließungen</w:t>
      </w:r>
      <w:r w:rsidR="00182701" w:rsidRPr="00FB66B8">
        <w:rPr>
          <w:rFonts w:ascii="Arial" w:hAnsi="Arial"/>
        </w:rPr>
        <w:t xml:space="preserve"> von Studiengängen</w:t>
      </w:r>
      <w:r w:rsidR="00A56E43" w:rsidRPr="00FB66B8">
        <w:rPr>
          <w:rFonts w:ascii="Arial" w:hAnsi="Arial"/>
        </w:rPr>
        <w:t>,</w:t>
      </w:r>
      <w:r w:rsidR="00404AD7" w:rsidRPr="00FB66B8">
        <w:rPr>
          <w:rFonts w:ascii="Arial" w:hAnsi="Arial"/>
        </w:rPr>
        <w:t xml:space="preserve"> die im direkten Zusammenhang mit</w:t>
      </w:r>
      <w:r w:rsidR="007B7156" w:rsidRPr="00FB66B8">
        <w:rPr>
          <w:rFonts w:ascii="Arial" w:hAnsi="Arial"/>
        </w:rPr>
        <w:t xml:space="preserve"> der Hochschulstrukturpl</w:t>
      </w:r>
      <w:r w:rsidR="007B7156" w:rsidRPr="00FB66B8">
        <w:rPr>
          <w:rFonts w:ascii="Arial" w:hAnsi="Arial"/>
        </w:rPr>
        <w:t>a</w:t>
      </w:r>
      <w:r w:rsidR="007B7156" w:rsidRPr="00FB66B8">
        <w:rPr>
          <w:rFonts w:ascii="Arial" w:hAnsi="Arial"/>
        </w:rPr>
        <w:t>nung</w:t>
      </w:r>
      <w:r w:rsidR="00404AD7" w:rsidRPr="00FB66B8">
        <w:rPr>
          <w:rFonts w:ascii="Arial" w:hAnsi="Arial"/>
        </w:rPr>
        <w:t xml:space="preserve"> und den daraus abgeleiteten Hochschulentwicklungsplänen</w:t>
      </w:r>
      <w:r w:rsidR="007B7156" w:rsidRPr="00FB66B8">
        <w:rPr>
          <w:rFonts w:ascii="Arial" w:hAnsi="Arial"/>
        </w:rPr>
        <w:t xml:space="preserve"> </w:t>
      </w:r>
      <w:r w:rsidR="00404AD7" w:rsidRPr="00FB66B8">
        <w:rPr>
          <w:rFonts w:ascii="Arial" w:hAnsi="Arial"/>
        </w:rPr>
        <w:t>stehen, gelten als genehmigt. Sie sind dem M</w:t>
      </w:r>
      <w:r w:rsidR="00A56E43" w:rsidRPr="00FB66B8">
        <w:rPr>
          <w:rFonts w:ascii="Arial" w:hAnsi="Arial"/>
        </w:rPr>
        <w:t>W</w:t>
      </w:r>
      <w:r w:rsidR="00404AD7" w:rsidRPr="00FB66B8">
        <w:rPr>
          <w:rFonts w:ascii="Arial" w:hAnsi="Arial"/>
        </w:rPr>
        <w:t xml:space="preserve"> anzuzeigen.</w:t>
      </w:r>
    </w:p>
    <w:p w:rsidR="003A5CDB" w:rsidRPr="00FB66B8" w:rsidRDefault="004A4261" w:rsidP="00993E68">
      <w:pPr>
        <w:pStyle w:val="Formatvorlage2"/>
        <w:spacing w:before="120" w:after="120"/>
        <w:rPr>
          <w:rFonts w:ascii="Arial" w:hAnsi="Arial"/>
        </w:rPr>
      </w:pPr>
      <w:r w:rsidRPr="00FB66B8">
        <w:rPr>
          <w:rFonts w:ascii="Arial" w:hAnsi="Arial"/>
        </w:rPr>
        <w:t>(</w:t>
      </w:r>
      <w:r w:rsidR="000774B1" w:rsidRPr="00FB66B8">
        <w:rPr>
          <w:rFonts w:ascii="Arial" w:hAnsi="Arial"/>
        </w:rPr>
        <w:t>6</w:t>
      </w:r>
      <w:r w:rsidRPr="00FB66B8">
        <w:rPr>
          <w:rFonts w:ascii="Arial" w:hAnsi="Arial"/>
        </w:rPr>
        <w:t>)</w:t>
      </w:r>
      <w:r w:rsidR="003A5CDB" w:rsidRPr="00FB66B8">
        <w:rPr>
          <w:rFonts w:ascii="Arial" w:hAnsi="Arial"/>
        </w:rPr>
        <w:t xml:space="preserve"> </w:t>
      </w:r>
      <w:r w:rsidR="00B8613A" w:rsidRPr="00FB66B8">
        <w:rPr>
          <w:rFonts w:ascii="Arial" w:hAnsi="Arial"/>
        </w:rPr>
        <w:t>I</w:t>
      </w:r>
      <w:r w:rsidR="001D035F" w:rsidRPr="00FB66B8">
        <w:rPr>
          <w:rFonts w:ascii="Arial" w:hAnsi="Arial"/>
        </w:rPr>
        <w:t xml:space="preserve">m Zusammenhang mit der Erfüllung des Hochschulpaktes 2020 </w:t>
      </w:r>
      <w:r w:rsidR="00FA3B47" w:rsidRPr="00FB66B8">
        <w:rPr>
          <w:rFonts w:ascii="Arial" w:hAnsi="Arial"/>
        </w:rPr>
        <w:t xml:space="preserve">ergreifen </w:t>
      </w:r>
      <w:r w:rsidR="001D035F" w:rsidRPr="00FB66B8">
        <w:rPr>
          <w:rFonts w:ascii="Arial" w:hAnsi="Arial"/>
        </w:rPr>
        <w:t xml:space="preserve">die Hochschulen </w:t>
      </w:r>
      <w:r w:rsidR="001D0A06" w:rsidRPr="00FB66B8">
        <w:rPr>
          <w:rFonts w:ascii="Arial" w:hAnsi="Arial"/>
        </w:rPr>
        <w:t>zielg</w:t>
      </w:r>
      <w:r w:rsidR="001D0A06" w:rsidRPr="00FB66B8">
        <w:rPr>
          <w:rFonts w:ascii="Arial" w:hAnsi="Arial"/>
        </w:rPr>
        <w:t>e</w:t>
      </w:r>
      <w:r w:rsidR="001D0A06" w:rsidRPr="00FB66B8">
        <w:rPr>
          <w:rFonts w:ascii="Arial" w:hAnsi="Arial"/>
        </w:rPr>
        <w:t>richtete M</w:t>
      </w:r>
      <w:r w:rsidR="001D035F" w:rsidRPr="00FB66B8">
        <w:rPr>
          <w:rFonts w:ascii="Arial" w:hAnsi="Arial"/>
        </w:rPr>
        <w:t>aßnahmen</w:t>
      </w:r>
      <w:r w:rsidR="0031053D" w:rsidRPr="00FB66B8">
        <w:rPr>
          <w:rFonts w:ascii="Arial" w:hAnsi="Arial"/>
        </w:rPr>
        <w:t>, um</w:t>
      </w:r>
      <w:r w:rsidR="001D0A06" w:rsidRPr="00FB66B8">
        <w:rPr>
          <w:rFonts w:ascii="Arial" w:hAnsi="Arial"/>
        </w:rPr>
        <w:t xml:space="preserve"> mehr Studierende qualitätsgesichert zu einem erfolgreichen Abschluss zu führen</w:t>
      </w:r>
      <w:r w:rsidR="001D035F" w:rsidRPr="00FB66B8">
        <w:rPr>
          <w:rFonts w:ascii="Arial" w:hAnsi="Arial"/>
        </w:rPr>
        <w:t xml:space="preserve"> </w:t>
      </w:r>
      <w:r w:rsidR="00071E9E" w:rsidRPr="00FB66B8">
        <w:rPr>
          <w:rFonts w:ascii="Arial" w:hAnsi="Arial"/>
        </w:rPr>
        <w:t>sowie</w:t>
      </w:r>
      <w:r w:rsidR="001D035F" w:rsidRPr="00FB66B8">
        <w:rPr>
          <w:rFonts w:ascii="Arial" w:hAnsi="Arial"/>
        </w:rPr>
        <w:t xml:space="preserve"> den Anteil der Absolventinnen und Absolventen in der Regelstudienzeit </w:t>
      </w:r>
      <w:r w:rsidR="00A56E43" w:rsidRPr="00FB66B8">
        <w:rPr>
          <w:rFonts w:ascii="Arial" w:hAnsi="Arial"/>
        </w:rPr>
        <w:t xml:space="preserve">zu </w:t>
      </w:r>
      <w:r w:rsidR="001D035F" w:rsidRPr="00FB66B8">
        <w:rPr>
          <w:rFonts w:ascii="Arial" w:hAnsi="Arial"/>
        </w:rPr>
        <w:t>steigern</w:t>
      </w:r>
      <w:r w:rsidR="008D27C3" w:rsidRPr="00FB66B8">
        <w:rPr>
          <w:rFonts w:ascii="Arial" w:hAnsi="Arial"/>
        </w:rPr>
        <w:t>.</w:t>
      </w:r>
      <w:r w:rsidR="00951634" w:rsidRPr="00FB66B8">
        <w:rPr>
          <w:rFonts w:ascii="Arial" w:hAnsi="Arial"/>
        </w:rPr>
        <w:t xml:space="preserve"> Über die getroffenen Maßnahmen</w:t>
      </w:r>
      <w:r w:rsidR="000426B6" w:rsidRPr="00FB66B8">
        <w:rPr>
          <w:rFonts w:ascii="Arial" w:hAnsi="Arial"/>
        </w:rPr>
        <w:t xml:space="preserve"> und</w:t>
      </w:r>
      <w:r w:rsidR="00B8613A" w:rsidRPr="00FB66B8">
        <w:rPr>
          <w:rFonts w:ascii="Arial" w:hAnsi="Arial"/>
        </w:rPr>
        <w:t xml:space="preserve"> Ergebnisse</w:t>
      </w:r>
      <w:r w:rsidR="00D72738" w:rsidRPr="00FB66B8">
        <w:rPr>
          <w:rFonts w:ascii="Arial" w:hAnsi="Arial"/>
        </w:rPr>
        <w:t xml:space="preserve"> </w:t>
      </w:r>
      <w:r w:rsidR="00951634" w:rsidRPr="00FB66B8">
        <w:rPr>
          <w:rFonts w:ascii="Arial" w:hAnsi="Arial"/>
        </w:rPr>
        <w:t>ist zu berichten.</w:t>
      </w:r>
    </w:p>
    <w:p w:rsidR="00E47756" w:rsidRPr="00FB66B8" w:rsidRDefault="00E47756" w:rsidP="00993E68">
      <w:pPr>
        <w:pStyle w:val="Formatvorlage2"/>
        <w:spacing w:before="120" w:after="120"/>
        <w:rPr>
          <w:rFonts w:ascii="Arial" w:hAnsi="Arial"/>
        </w:rPr>
      </w:pPr>
      <w:r w:rsidRPr="00FB66B8">
        <w:rPr>
          <w:rFonts w:ascii="Arial" w:hAnsi="Arial"/>
        </w:rPr>
        <w:t xml:space="preserve">(7) </w:t>
      </w:r>
      <w:r w:rsidR="005D39A2" w:rsidRPr="00FB66B8">
        <w:rPr>
          <w:rFonts w:ascii="Arial" w:hAnsi="Arial"/>
        </w:rPr>
        <w:t xml:space="preserve">Die Hochschulen </w:t>
      </w:r>
      <w:r w:rsidR="00FA3B47" w:rsidRPr="00FB66B8">
        <w:rPr>
          <w:rFonts w:ascii="Arial" w:hAnsi="Arial"/>
        </w:rPr>
        <w:t xml:space="preserve">stellen </w:t>
      </w:r>
      <w:r w:rsidR="005D39A2" w:rsidRPr="00FB66B8">
        <w:rPr>
          <w:rFonts w:ascii="Arial" w:hAnsi="Arial"/>
        </w:rPr>
        <w:t xml:space="preserve">die für die Anerkennungsverfahren zur Prüfung der Anerkennung in- und ausländischer Studienleistungen und Abschlüsse relevanten Verfahren </w:t>
      </w:r>
      <w:r w:rsidR="00FA3B47" w:rsidRPr="00FB66B8">
        <w:rPr>
          <w:rFonts w:ascii="Arial" w:hAnsi="Arial"/>
        </w:rPr>
        <w:t xml:space="preserve">und Ansprechpartner </w:t>
      </w:r>
      <w:r w:rsidR="005D39A2" w:rsidRPr="00FB66B8">
        <w:rPr>
          <w:rFonts w:ascii="Arial" w:hAnsi="Arial"/>
        </w:rPr>
        <w:t>transp</w:t>
      </w:r>
      <w:r w:rsidR="005D39A2" w:rsidRPr="00FB66B8">
        <w:rPr>
          <w:rFonts w:ascii="Arial" w:hAnsi="Arial"/>
        </w:rPr>
        <w:t>a</w:t>
      </w:r>
      <w:r w:rsidR="005D39A2" w:rsidRPr="00FB66B8">
        <w:rPr>
          <w:rFonts w:ascii="Arial" w:hAnsi="Arial"/>
        </w:rPr>
        <w:t>rent dar.</w:t>
      </w:r>
    </w:p>
    <w:p w:rsidR="009E6185" w:rsidRPr="00FB66B8" w:rsidRDefault="004A4261" w:rsidP="00993E68">
      <w:pPr>
        <w:pStyle w:val="Formatvorlage2"/>
        <w:spacing w:before="120" w:after="120"/>
        <w:rPr>
          <w:rFonts w:ascii="Arial" w:hAnsi="Arial"/>
        </w:rPr>
      </w:pPr>
      <w:r w:rsidRPr="00FB66B8">
        <w:rPr>
          <w:rFonts w:ascii="Arial" w:hAnsi="Arial"/>
        </w:rPr>
        <w:t>(</w:t>
      </w:r>
      <w:r w:rsidR="00160085" w:rsidRPr="00FB66B8">
        <w:rPr>
          <w:rFonts w:ascii="Arial" w:hAnsi="Arial"/>
        </w:rPr>
        <w:t>8</w:t>
      </w:r>
      <w:r w:rsidRPr="00FB66B8">
        <w:rPr>
          <w:rFonts w:ascii="Arial" w:hAnsi="Arial"/>
        </w:rPr>
        <w:t>)</w:t>
      </w:r>
      <w:r w:rsidR="0043764C" w:rsidRPr="00FB66B8">
        <w:rPr>
          <w:rFonts w:ascii="Arial" w:hAnsi="Arial"/>
        </w:rPr>
        <w:t xml:space="preserve"> </w:t>
      </w:r>
      <w:r w:rsidR="00ED2C62" w:rsidRPr="00FB66B8">
        <w:rPr>
          <w:rFonts w:ascii="Arial" w:hAnsi="Arial"/>
        </w:rPr>
        <w:t xml:space="preserve">Die Hochschulen </w:t>
      </w:r>
      <w:r w:rsidR="00FA3B47" w:rsidRPr="00FB66B8">
        <w:rPr>
          <w:rFonts w:ascii="Arial" w:hAnsi="Arial"/>
        </w:rPr>
        <w:t xml:space="preserve">ergreifen </w:t>
      </w:r>
      <w:r w:rsidR="00ED2C62" w:rsidRPr="00FB66B8">
        <w:rPr>
          <w:rFonts w:ascii="Arial" w:hAnsi="Arial"/>
        </w:rPr>
        <w:t xml:space="preserve">Maßnahmen, um den Anteil geeigneter beruflich Qualifizierter an den zum Studium Zugelassenen zu erhöhen und berichten </w:t>
      </w:r>
      <w:r w:rsidR="007578BB">
        <w:rPr>
          <w:rFonts w:ascii="Arial" w:hAnsi="Arial"/>
        </w:rPr>
        <w:t xml:space="preserve">jährlich </w:t>
      </w:r>
      <w:r w:rsidR="00ED2C62" w:rsidRPr="00FB66B8">
        <w:rPr>
          <w:rFonts w:ascii="Arial" w:hAnsi="Arial"/>
        </w:rPr>
        <w:t>über den erreichten Stand. Die Hoc</w:t>
      </w:r>
      <w:r w:rsidR="00ED2C62" w:rsidRPr="00FB66B8">
        <w:rPr>
          <w:rFonts w:ascii="Arial" w:hAnsi="Arial"/>
        </w:rPr>
        <w:t>h</w:t>
      </w:r>
      <w:r w:rsidR="00ED2C62" w:rsidRPr="00FB66B8">
        <w:rPr>
          <w:rFonts w:ascii="Arial" w:hAnsi="Arial"/>
        </w:rPr>
        <w:t xml:space="preserve">schulen stellen </w:t>
      </w:r>
      <w:r w:rsidR="00C31832" w:rsidRPr="00FB66B8">
        <w:rPr>
          <w:rFonts w:ascii="Arial" w:hAnsi="Arial"/>
        </w:rPr>
        <w:t xml:space="preserve">dabei </w:t>
      </w:r>
      <w:r w:rsidR="00ED2C62" w:rsidRPr="00FB66B8">
        <w:rPr>
          <w:rFonts w:ascii="Arial" w:hAnsi="Arial"/>
        </w:rPr>
        <w:t xml:space="preserve">die Entwicklung </w:t>
      </w:r>
      <w:r w:rsidR="00AF11B8" w:rsidRPr="00FB66B8">
        <w:rPr>
          <w:rFonts w:ascii="Arial" w:hAnsi="Arial"/>
        </w:rPr>
        <w:t>jeweils im Durchschnitt der letzten vier Jahre dar</w:t>
      </w:r>
      <w:r w:rsidR="00ED2C62" w:rsidRPr="00FB66B8">
        <w:rPr>
          <w:rFonts w:ascii="Arial" w:hAnsi="Arial"/>
        </w:rPr>
        <w:t>.</w:t>
      </w:r>
    </w:p>
    <w:p w:rsidR="0043764C" w:rsidRPr="00FB66B8" w:rsidRDefault="009E6185" w:rsidP="00993E68">
      <w:pPr>
        <w:pStyle w:val="Formatvorlage2"/>
        <w:spacing w:before="120" w:after="120"/>
        <w:rPr>
          <w:rFonts w:ascii="Arial" w:hAnsi="Arial"/>
        </w:rPr>
      </w:pPr>
      <w:r w:rsidRPr="00FB66B8">
        <w:rPr>
          <w:rFonts w:ascii="Arial" w:hAnsi="Arial"/>
        </w:rPr>
        <w:t xml:space="preserve">(9) </w:t>
      </w:r>
      <w:r w:rsidR="007071A7" w:rsidRPr="00FB66B8">
        <w:rPr>
          <w:rFonts w:ascii="Arial" w:hAnsi="Arial"/>
        </w:rPr>
        <w:t>Die Fachhochschulen entwickeln</w:t>
      </w:r>
      <w:r w:rsidR="007A7E82">
        <w:rPr>
          <w:rFonts w:ascii="Arial" w:hAnsi="Arial"/>
        </w:rPr>
        <w:t xml:space="preserve"> im Rahmen ihrer finanziellen Möglichkeiten</w:t>
      </w:r>
      <w:r w:rsidR="007071A7" w:rsidRPr="00FB66B8">
        <w:rPr>
          <w:rFonts w:ascii="Arial" w:hAnsi="Arial"/>
        </w:rPr>
        <w:t xml:space="preserve"> insbesondere für die berufsbegleitenden Studienangebote ihre Verfahren zur Anrechnung außerhochschulisch erworbener Leistungsnachweise auf ein Studium weiter.</w:t>
      </w:r>
      <w:r w:rsidR="005D39A2" w:rsidRPr="00FB66B8">
        <w:rPr>
          <w:rFonts w:ascii="Arial" w:hAnsi="Arial"/>
        </w:rPr>
        <w:t xml:space="preserve"> Dazu gründen </w:t>
      </w:r>
      <w:r w:rsidR="00715337" w:rsidRPr="00FB66B8">
        <w:rPr>
          <w:rFonts w:ascii="Arial" w:hAnsi="Arial"/>
        </w:rPr>
        <w:t>s</w:t>
      </w:r>
      <w:r w:rsidR="005D39A2" w:rsidRPr="00FB66B8">
        <w:rPr>
          <w:rFonts w:ascii="Arial" w:hAnsi="Arial"/>
        </w:rPr>
        <w:t>ie eine gemeinsame Plattform unter F</w:t>
      </w:r>
      <w:r w:rsidR="005D39A2" w:rsidRPr="00FB66B8">
        <w:rPr>
          <w:rFonts w:ascii="Arial" w:hAnsi="Arial"/>
        </w:rPr>
        <w:t>e</w:t>
      </w:r>
      <w:r w:rsidR="005D39A2" w:rsidRPr="00FB66B8">
        <w:rPr>
          <w:rFonts w:ascii="Arial" w:hAnsi="Arial"/>
        </w:rPr>
        <w:t>derführung der Hochschule Harz. Die Hochschule Harz stellt die in den Förderprojekten und dem Bund-Länder Projekt „Offene Hochschule“ gewonnene Expertise</w:t>
      </w:r>
      <w:r w:rsidR="002D64EC">
        <w:rPr>
          <w:rFonts w:ascii="Arial" w:hAnsi="Arial"/>
        </w:rPr>
        <w:t xml:space="preserve"> über Verfahren zur Anrechnung </w:t>
      </w:r>
      <w:r w:rsidR="007A7E82">
        <w:rPr>
          <w:rFonts w:ascii="Arial" w:hAnsi="Arial"/>
        </w:rPr>
        <w:t>allen</w:t>
      </w:r>
      <w:r w:rsidR="002D64EC">
        <w:rPr>
          <w:rFonts w:ascii="Arial" w:hAnsi="Arial"/>
        </w:rPr>
        <w:t xml:space="preserve"> Hochschulen</w:t>
      </w:r>
      <w:r w:rsidR="005D39A2" w:rsidRPr="00FB66B8">
        <w:rPr>
          <w:rFonts w:ascii="Arial" w:hAnsi="Arial"/>
        </w:rPr>
        <w:t xml:space="preserve"> zur Verfügung.</w:t>
      </w:r>
    </w:p>
    <w:p w:rsidR="00065904" w:rsidRPr="00FB66B8" w:rsidRDefault="004A4261" w:rsidP="00993E68">
      <w:pPr>
        <w:pStyle w:val="Formatvorlage2"/>
        <w:spacing w:before="120" w:after="120"/>
        <w:rPr>
          <w:rFonts w:ascii="Arial" w:hAnsi="Arial"/>
        </w:rPr>
      </w:pPr>
      <w:r w:rsidRPr="00FB66B8">
        <w:rPr>
          <w:rFonts w:ascii="Arial" w:hAnsi="Arial"/>
        </w:rPr>
        <w:t>(</w:t>
      </w:r>
      <w:r w:rsidR="009E6185" w:rsidRPr="00FB66B8">
        <w:rPr>
          <w:rFonts w:ascii="Arial" w:hAnsi="Arial"/>
        </w:rPr>
        <w:t>10</w:t>
      </w:r>
      <w:r w:rsidRPr="00FB66B8">
        <w:rPr>
          <w:rFonts w:ascii="Arial" w:hAnsi="Arial"/>
        </w:rPr>
        <w:t>)</w:t>
      </w:r>
      <w:r w:rsidR="009C2CE3" w:rsidRPr="00FB66B8">
        <w:rPr>
          <w:rFonts w:ascii="Arial" w:hAnsi="Arial"/>
        </w:rPr>
        <w:t xml:space="preserve"> </w:t>
      </w:r>
      <w:r w:rsidR="00AB4FC6" w:rsidRPr="00FB66B8">
        <w:rPr>
          <w:rFonts w:ascii="Arial" w:hAnsi="Arial"/>
        </w:rPr>
        <w:t xml:space="preserve">Mit dem Ausbau </w:t>
      </w:r>
      <w:r w:rsidR="00071C29">
        <w:rPr>
          <w:rFonts w:ascii="Arial" w:hAnsi="Arial"/>
        </w:rPr>
        <w:t>aus</w:t>
      </w:r>
      <w:r w:rsidR="00071C29" w:rsidRPr="00FB66B8">
        <w:rPr>
          <w:rFonts w:ascii="Arial" w:hAnsi="Arial"/>
        </w:rPr>
        <w:t xml:space="preserve"> </w:t>
      </w:r>
      <w:r w:rsidR="0042122C" w:rsidRPr="00FB66B8">
        <w:rPr>
          <w:rFonts w:ascii="Arial" w:hAnsi="Arial"/>
        </w:rPr>
        <w:t xml:space="preserve">der Wirtschaft </w:t>
      </w:r>
      <w:r w:rsidR="00071C29">
        <w:rPr>
          <w:rFonts w:ascii="Arial" w:hAnsi="Arial"/>
        </w:rPr>
        <w:t xml:space="preserve">hinreichend </w:t>
      </w:r>
      <w:r w:rsidR="0042122C" w:rsidRPr="00FB66B8">
        <w:rPr>
          <w:rFonts w:ascii="Arial" w:hAnsi="Arial"/>
        </w:rPr>
        <w:t>nachgefragter Angebote</w:t>
      </w:r>
      <w:r w:rsidR="00AB4FC6" w:rsidRPr="00FB66B8">
        <w:rPr>
          <w:rFonts w:ascii="Arial" w:hAnsi="Arial"/>
        </w:rPr>
        <w:t xml:space="preserve"> tragen die Hochschulen zur Fachkräftesicherung und zur engeren Zusammenarbeit mit den Unternehmen des Landes bei. </w:t>
      </w:r>
      <w:r w:rsidR="00A24447">
        <w:rPr>
          <w:rFonts w:ascii="Arial" w:hAnsi="Arial"/>
        </w:rPr>
        <w:lastRenderedPageBreak/>
        <w:t>Diesem</w:t>
      </w:r>
      <w:r w:rsidR="0063130E">
        <w:rPr>
          <w:rFonts w:ascii="Arial" w:hAnsi="Arial"/>
        </w:rPr>
        <w:t xml:space="preserve"> Bedarf </w:t>
      </w:r>
      <w:r w:rsidR="00475FB6">
        <w:rPr>
          <w:rFonts w:ascii="Arial" w:hAnsi="Arial"/>
        </w:rPr>
        <w:t>folgend</w:t>
      </w:r>
      <w:r w:rsidR="00630A83">
        <w:rPr>
          <w:rFonts w:ascii="Arial" w:hAnsi="Arial"/>
        </w:rPr>
        <w:t>,</w:t>
      </w:r>
      <w:r w:rsidR="00064408" w:rsidRPr="00FB66B8">
        <w:rPr>
          <w:rFonts w:ascii="Arial" w:hAnsi="Arial"/>
        </w:rPr>
        <w:t xml:space="preserve"> weiten d</w:t>
      </w:r>
      <w:r w:rsidR="00713FD6" w:rsidRPr="00FB66B8">
        <w:rPr>
          <w:rFonts w:ascii="Arial" w:hAnsi="Arial"/>
        </w:rPr>
        <w:t xml:space="preserve">ie Hochschulen ihre dualen Studienangebote in der akademischen Erstausbildung und im Bereich des postgradualen Studiums </w:t>
      </w:r>
      <w:r w:rsidR="00064408" w:rsidRPr="00FB66B8">
        <w:rPr>
          <w:rFonts w:ascii="Arial" w:hAnsi="Arial"/>
        </w:rPr>
        <w:t xml:space="preserve">entsprechend </w:t>
      </w:r>
      <w:r w:rsidR="00713FD6" w:rsidRPr="00FB66B8">
        <w:rPr>
          <w:rFonts w:ascii="Arial" w:hAnsi="Arial"/>
        </w:rPr>
        <w:t xml:space="preserve">der </w:t>
      </w:r>
      <w:commentRangeStart w:id="1"/>
      <w:r w:rsidR="00713FD6" w:rsidRPr="00FB66B8">
        <w:rPr>
          <w:rFonts w:ascii="Arial" w:hAnsi="Arial"/>
        </w:rPr>
        <w:t>Hochschulstrukturpl</w:t>
      </w:r>
      <w:r w:rsidR="00713FD6" w:rsidRPr="00FB66B8">
        <w:rPr>
          <w:rFonts w:ascii="Arial" w:hAnsi="Arial"/>
        </w:rPr>
        <w:t>a</w:t>
      </w:r>
      <w:r w:rsidR="00713FD6" w:rsidRPr="00FB66B8">
        <w:rPr>
          <w:rFonts w:ascii="Arial" w:hAnsi="Arial"/>
        </w:rPr>
        <w:t>nung des Landes</w:t>
      </w:r>
      <w:commentRangeEnd w:id="1"/>
      <w:r w:rsidR="00165BC4">
        <w:rPr>
          <w:rStyle w:val="Kommentarzeichen"/>
          <w:rFonts w:ascii="Arial" w:eastAsia="Calibri" w:hAnsi="Arial"/>
        </w:rPr>
        <w:commentReference w:id="1"/>
      </w:r>
      <w:r w:rsidR="00713FD6" w:rsidRPr="00FB66B8">
        <w:rPr>
          <w:rFonts w:ascii="Arial" w:hAnsi="Arial"/>
        </w:rPr>
        <w:t xml:space="preserve"> aus. Insbesondere verbessern sie die curriculare Verknüpfung der Lernorte „Betrieb“ und „Hochschule“. Sie berichten</w:t>
      </w:r>
      <w:r w:rsidR="00F67F72">
        <w:rPr>
          <w:rFonts w:ascii="Arial" w:hAnsi="Arial"/>
        </w:rPr>
        <w:t xml:space="preserve"> jährlich</w:t>
      </w:r>
      <w:r w:rsidR="00713FD6" w:rsidRPr="00FB66B8">
        <w:rPr>
          <w:rFonts w:ascii="Arial" w:hAnsi="Arial"/>
        </w:rPr>
        <w:t xml:space="preserve"> über die </w:t>
      </w:r>
      <w:r w:rsidR="00064408" w:rsidRPr="00FB66B8">
        <w:rPr>
          <w:rFonts w:ascii="Arial" w:hAnsi="Arial"/>
        </w:rPr>
        <w:t xml:space="preserve">qualitativen und quantitativen </w:t>
      </w:r>
      <w:r w:rsidR="00713FD6" w:rsidRPr="00FB66B8">
        <w:rPr>
          <w:rFonts w:ascii="Arial" w:hAnsi="Arial"/>
        </w:rPr>
        <w:t>Fortschritte</w:t>
      </w:r>
      <w:r w:rsidR="00065904" w:rsidRPr="00FB66B8">
        <w:rPr>
          <w:rFonts w:ascii="Arial" w:hAnsi="Arial"/>
        </w:rPr>
        <w:t>.</w:t>
      </w:r>
    </w:p>
    <w:p w:rsidR="00653765" w:rsidRPr="00FB66B8" w:rsidRDefault="001052CC" w:rsidP="009276A5">
      <w:pPr>
        <w:pStyle w:val="Formatvorlage2"/>
        <w:spacing w:before="120" w:after="120"/>
        <w:rPr>
          <w:rFonts w:ascii="Arial" w:hAnsi="Arial"/>
        </w:rPr>
      </w:pPr>
      <w:r w:rsidRPr="00FB66B8">
        <w:rPr>
          <w:rFonts w:ascii="Arial" w:hAnsi="Arial"/>
        </w:rPr>
        <w:t>(</w:t>
      </w:r>
      <w:r w:rsidR="00620C50" w:rsidRPr="00FB66B8">
        <w:rPr>
          <w:rFonts w:ascii="Arial" w:hAnsi="Arial"/>
        </w:rPr>
        <w:t>1</w:t>
      </w:r>
      <w:r w:rsidR="00DD57B1">
        <w:rPr>
          <w:rFonts w:ascii="Arial" w:hAnsi="Arial"/>
        </w:rPr>
        <w:t>1</w:t>
      </w:r>
      <w:r w:rsidRPr="00FB66B8">
        <w:rPr>
          <w:rFonts w:ascii="Arial" w:hAnsi="Arial"/>
        </w:rPr>
        <w:t>)</w:t>
      </w:r>
      <w:r w:rsidR="007067BF" w:rsidRPr="00FB66B8">
        <w:rPr>
          <w:rFonts w:ascii="Arial" w:hAnsi="Arial"/>
        </w:rPr>
        <w:t xml:space="preserve"> </w:t>
      </w:r>
      <w:r w:rsidR="009276A5" w:rsidRPr="00FB66B8">
        <w:rPr>
          <w:rFonts w:ascii="Arial" w:hAnsi="Arial"/>
        </w:rPr>
        <w:t xml:space="preserve">Auf </w:t>
      </w:r>
      <w:r w:rsidR="0063130E">
        <w:rPr>
          <w:rFonts w:ascii="Arial" w:hAnsi="Arial"/>
        </w:rPr>
        <w:t>der Grundlage</w:t>
      </w:r>
      <w:r w:rsidR="009276A5" w:rsidRPr="00FB66B8">
        <w:rPr>
          <w:rFonts w:ascii="Arial" w:hAnsi="Arial"/>
        </w:rPr>
        <w:t xml:space="preserve"> </w:t>
      </w:r>
      <w:r w:rsidR="007E4D05">
        <w:rPr>
          <w:rFonts w:ascii="Arial" w:hAnsi="Arial"/>
        </w:rPr>
        <w:t xml:space="preserve">ihrer Hochschulentwicklungspläne </w:t>
      </w:r>
      <w:r w:rsidR="009276A5" w:rsidRPr="00FB66B8">
        <w:rPr>
          <w:rFonts w:ascii="Arial" w:hAnsi="Arial"/>
        </w:rPr>
        <w:t xml:space="preserve">entwickeln die Hochschulen ihre Konzepte zur wissenschaftlichen Weiterbildung und </w:t>
      </w:r>
      <w:r w:rsidR="004D385B">
        <w:rPr>
          <w:rFonts w:ascii="Arial" w:hAnsi="Arial"/>
        </w:rPr>
        <w:t xml:space="preserve">zu </w:t>
      </w:r>
      <w:r w:rsidR="00B92276">
        <w:rPr>
          <w:rFonts w:ascii="Arial" w:hAnsi="Arial"/>
        </w:rPr>
        <w:t>d</w:t>
      </w:r>
      <w:r w:rsidR="009276A5" w:rsidRPr="00FB66B8">
        <w:rPr>
          <w:rFonts w:ascii="Arial" w:hAnsi="Arial"/>
        </w:rPr>
        <w:t>ualen Studienangeboten weiter fort</w:t>
      </w:r>
      <w:r w:rsidR="007A7E82">
        <w:rPr>
          <w:rFonts w:ascii="Arial" w:hAnsi="Arial"/>
        </w:rPr>
        <w:t xml:space="preserve"> und arbeiten we</w:t>
      </w:r>
      <w:r w:rsidR="007A7E82">
        <w:rPr>
          <w:rFonts w:ascii="Arial" w:hAnsi="Arial"/>
        </w:rPr>
        <w:t>i</w:t>
      </w:r>
      <w:r w:rsidR="007A7E82">
        <w:rPr>
          <w:rFonts w:ascii="Arial" w:hAnsi="Arial"/>
        </w:rPr>
        <w:t>terhin im Netzwerk zusammen</w:t>
      </w:r>
      <w:r w:rsidR="009276A5" w:rsidRPr="00FB66B8">
        <w:rPr>
          <w:rFonts w:ascii="Arial" w:hAnsi="Arial"/>
        </w:rPr>
        <w:t>. Die Hochschulen analysieren den derzeitigen Stand der wissenschaf</w:t>
      </w:r>
      <w:r w:rsidR="009276A5" w:rsidRPr="00FB66B8">
        <w:rPr>
          <w:rFonts w:ascii="Arial" w:hAnsi="Arial"/>
        </w:rPr>
        <w:t>t</w:t>
      </w:r>
      <w:r w:rsidR="009276A5" w:rsidRPr="00FB66B8">
        <w:rPr>
          <w:rFonts w:ascii="Arial" w:hAnsi="Arial"/>
        </w:rPr>
        <w:t xml:space="preserve">lichen Weiterbildung an ihren Einrichtungen und an den An-Instituten. </w:t>
      </w:r>
      <w:r w:rsidR="00C469D8">
        <w:rPr>
          <w:rFonts w:ascii="Arial" w:hAnsi="Arial"/>
        </w:rPr>
        <w:t xml:space="preserve">Sie führen die wissenschaftliche Weiterbildung </w:t>
      </w:r>
      <w:r w:rsidR="009276A5" w:rsidRPr="00FB66B8">
        <w:rPr>
          <w:rFonts w:ascii="Arial" w:hAnsi="Arial"/>
        </w:rPr>
        <w:t>in der Gesamtverantwortung durch.</w:t>
      </w:r>
      <w:r w:rsidR="003233DC">
        <w:rPr>
          <w:rFonts w:ascii="Arial" w:hAnsi="Arial"/>
        </w:rPr>
        <w:t xml:space="preserve"> Die Hochschulen verstärken zudem</w:t>
      </w:r>
      <w:r w:rsidR="003233DC" w:rsidRPr="007067BF">
        <w:rPr>
          <w:rFonts w:ascii="Arial" w:hAnsi="Arial"/>
        </w:rPr>
        <w:t xml:space="preserve"> die Profilierung ihrer Angebote zum lebenslangen Lernen und berufsbegleitenden Studium unter Berücksichtigung von Durchlässigkeit und der Anrechnung von außerhochschulisch erworbenen Kenntnissen und F</w:t>
      </w:r>
      <w:r w:rsidR="003233DC" w:rsidRPr="007067BF">
        <w:rPr>
          <w:rFonts w:ascii="Arial" w:hAnsi="Arial"/>
        </w:rPr>
        <w:t>ä</w:t>
      </w:r>
      <w:r w:rsidR="003233DC" w:rsidRPr="007067BF">
        <w:rPr>
          <w:rFonts w:ascii="Arial" w:hAnsi="Arial"/>
        </w:rPr>
        <w:t>higkeiten</w:t>
      </w:r>
      <w:r w:rsidR="004D385B">
        <w:rPr>
          <w:rFonts w:ascii="Arial" w:hAnsi="Arial"/>
        </w:rPr>
        <w:t>.</w:t>
      </w:r>
    </w:p>
    <w:p w:rsidR="00EB688A" w:rsidRPr="00FB66B8" w:rsidRDefault="005C167F" w:rsidP="00993E68">
      <w:pPr>
        <w:pStyle w:val="Formatvorlage2"/>
        <w:spacing w:before="120" w:after="120"/>
        <w:rPr>
          <w:rFonts w:ascii="Arial" w:hAnsi="Arial"/>
        </w:rPr>
      </w:pPr>
      <w:r w:rsidRPr="00FB66B8">
        <w:rPr>
          <w:rFonts w:ascii="Arial" w:hAnsi="Arial"/>
        </w:rPr>
        <w:t>(</w:t>
      </w:r>
      <w:r w:rsidR="00620C50" w:rsidRPr="00FB66B8">
        <w:rPr>
          <w:rFonts w:ascii="Arial" w:hAnsi="Arial"/>
        </w:rPr>
        <w:t>1</w:t>
      </w:r>
      <w:r w:rsidR="00DD57B1">
        <w:rPr>
          <w:rFonts w:ascii="Arial" w:hAnsi="Arial"/>
        </w:rPr>
        <w:t>2</w:t>
      </w:r>
      <w:r w:rsidRPr="00FB66B8">
        <w:rPr>
          <w:rFonts w:ascii="Arial" w:hAnsi="Arial"/>
        </w:rPr>
        <w:t>)</w:t>
      </w:r>
      <w:r w:rsidR="00EB688A" w:rsidRPr="00FB66B8">
        <w:rPr>
          <w:rFonts w:ascii="Arial" w:hAnsi="Arial"/>
        </w:rPr>
        <w:t xml:space="preserve"> </w:t>
      </w:r>
      <w:r w:rsidR="00114899" w:rsidRPr="00FB66B8">
        <w:rPr>
          <w:rFonts w:ascii="Arial" w:hAnsi="Arial"/>
        </w:rPr>
        <w:t xml:space="preserve">Die Hochschulen </w:t>
      </w:r>
      <w:r w:rsidR="00E56C6D" w:rsidRPr="00FB66B8">
        <w:rPr>
          <w:rFonts w:ascii="Arial" w:hAnsi="Arial"/>
        </w:rPr>
        <w:t>setzen</w:t>
      </w:r>
      <w:r w:rsidR="00C469D8">
        <w:rPr>
          <w:rFonts w:ascii="Arial" w:hAnsi="Arial"/>
        </w:rPr>
        <w:t xml:space="preserve"> im Verbund</w:t>
      </w:r>
      <w:r w:rsidR="00E56C6D" w:rsidRPr="00FB66B8">
        <w:rPr>
          <w:rFonts w:ascii="Arial" w:hAnsi="Arial"/>
        </w:rPr>
        <w:t xml:space="preserve"> die </w:t>
      </w:r>
      <w:r w:rsidR="00214B66" w:rsidRPr="00FB66B8">
        <w:rPr>
          <w:rFonts w:ascii="Arial" w:hAnsi="Arial"/>
        </w:rPr>
        <w:t xml:space="preserve">vorliegenden </w:t>
      </w:r>
      <w:r w:rsidR="00E56C6D" w:rsidRPr="00FB66B8">
        <w:rPr>
          <w:rFonts w:ascii="Arial" w:hAnsi="Arial"/>
        </w:rPr>
        <w:t>Konzepte zur Vermittlung</w:t>
      </w:r>
      <w:r w:rsidR="00114899" w:rsidRPr="00FB66B8">
        <w:rPr>
          <w:rFonts w:ascii="Arial" w:hAnsi="Arial"/>
        </w:rPr>
        <w:t xml:space="preserve"> hochschuldida</w:t>
      </w:r>
      <w:r w:rsidR="00114899" w:rsidRPr="00FB66B8">
        <w:rPr>
          <w:rFonts w:ascii="Arial" w:hAnsi="Arial"/>
        </w:rPr>
        <w:t>k</w:t>
      </w:r>
      <w:r w:rsidR="00114899" w:rsidRPr="00FB66B8">
        <w:rPr>
          <w:rFonts w:ascii="Arial" w:hAnsi="Arial"/>
        </w:rPr>
        <w:t>tischer Kompetenzen</w:t>
      </w:r>
      <w:r w:rsidR="00E56C6D" w:rsidRPr="00FB66B8">
        <w:rPr>
          <w:rFonts w:ascii="Arial" w:hAnsi="Arial"/>
        </w:rPr>
        <w:t xml:space="preserve"> um</w:t>
      </w:r>
      <w:r w:rsidR="00114899" w:rsidRPr="00FB66B8">
        <w:rPr>
          <w:rFonts w:ascii="Arial" w:hAnsi="Arial"/>
        </w:rPr>
        <w:t>.</w:t>
      </w:r>
      <w:r w:rsidR="00C469D8">
        <w:rPr>
          <w:rFonts w:ascii="Arial" w:hAnsi="Arial"/>
        </w:rPr>
        <w:t xml:space="preserve"> Sie nutzen dabei auch das </w:t>
      </w:r>
      <w:r w:rsidR="00C469D8" w:rsidRPr="00C469D8">
        <w:rPr>
          <w:rFonts w:ascii="Arial" w:hAnsi="Arial"/>
        </w:rPr>
        <w:t>Bund-Länder-Programm für bessere Studienb</w:t>
      </w:r>
      <w:r w:rsidR="00C469D8" w:rsidRPr="00C469D8">
        <w:rPr>
          <w:rFonts w:ascii="Arial" w:hAnsi="Arial"/>
        </w:rPr>
        <w:t>e</w:t>
      </w:r>
      <w:r w:rsidR="00C469D8" w:rsidRPr="00C469D8">
        <w:rPr>
          <w:rFonts w:ascii="Arial" w:hAnsi="Arial"/>
        </w:rPr>
        <w:t>dingungen und mehr Qualität in der Lehre ("Qualitätspakt Lehre")</w:t>
      </w:r>
      <w:r w:rsidR="00C469D8">
        <w:rPr>
          <w:rFonts w:ascii="Arial" w:hAnsi="Arial"/>
        </w:rPr>
        <w:t>.</w:t>
      </w:r>
    </w:p>
    <w:p w:rsidR="00DE14BC" w:rsidRPr="00DE14BC" w:rsidRDefault="00DE14BC" w:rsidP="00DE14BC">
      <w:pPr>
        <w:pStyle w:val="Formatvorlage2"/>
        <w:spacing w:before="120" w:after="120"/>
        <w:rPr>
          <w:rFonts w:ascii="Arial" w:hAnsi="Arial"/>
        </w:rPr>
      </w:pPr>
      <w:r>
        <w:rPr>
          <w:rFonts w:ascii="Arial" w:hAnsi="Arial"/>
        </w:rPr>
        <w:t xml:space="preserve">(13) </w:t>
      </w:r>
      <w:r w:rsidR="009A6048">
        <w:rPr>
          <w:rFonts w:ascii="Arial" w:hAnsi="Arial"/>
        </w:rPr>
        <w:t>An der</w:t>
      </w:r>
      <w:r w:rsidRPr="00DE14BC">
        <w:rPr>
          <w:rFonts w:ascii="Arial" w:hAnsi="Arial"/>
        </w:rPr>
        <w:t xml:space="preserve"> erfolgreiche</w:t>
      </w:r>
      <w:r w:rsidR="009A6048">
        <w:rPr>
          <w:rFonts w:ascii="Arial" w:hAnsi="Arial"/>
        </w:rPr>
        <w:t>n</w:t>
      </w:r>
      <w:r w:rsidRPr="00DE14BC">
        <w:rPr>
          <w:rFonts w:ascii="Arial" w:hAnsi="Arial"/>
        </w:rPr>
        <w:t xml:space="preserve"> Strategie der Wissenschafts</w:t>
      </w:r>
      <w:r w:rsidR="00F67F72">
        <w:rPr>
          <w:rFonts w:ascii="Arial" w:hAnsi="Arial"/>
        </w:rPr>
        <w:t>- und Forschungs</w:t>
      </w:r>
      <w:r w:rsidRPr="00DE14BC">
        <w:rPr>
          <w:rFonts w:ascii="Arial" w:hAnsi="Arial"/>
        </w:rPr>
        <w:t>politik des Landes, Spitzenfo</w:t>
      </w:r>
      <w:r w:rsidRPr="00DE14BC">
        <w:rPr>
          <w:rFonts w:ascii="Arial" w:hAnsi="Arial"/>
        </w:rPr>
        <w:t>r</w:t>
      </w:r>
      <w:r w:rsidRPr="00DE14BC">
        <w:rPr>
          <w:rFonts w:ascii="Arial" w:hAnsi="Arial"/>
        </w:rPr>
        <w:t xml:space="preserve">schung durch strukturelle Maßnahmen </w:t>
      </w:r>
      <w:r w:rsidR="009A6048">
        <w:rPr>
          <w:rFonts w:ascii="Arial" w:hAnsi="Arial"/>
        </w:rPr>
        <w:t xml:space="preserve">nach Möglichkeit </w:t>
      </w:r>
      <w:r w:rsidRPr="00DE14BC">
        <w:rPr>
          <w:rFonts w:ascii="Arial" w:hAnsi="Arial"/>
        </w:rPr>
        <w:t xml:space="preserve">zu unterstützen und wettbewerbsfähiger zu machen, </w:t>
      </w:r>
      <w:r>
        <w:rPr>
          <w:rFonts w:ascii="Arial" w:hAnsi="Arial"/>
        </w:rPr>
        <w:t>wird</w:t>
      </w:r>
      <w:r w:rsidRPr="00DE14BC">
        <w:rPr>
          <w:rFonts w:ascii="Arial" w:hAnsi="Arial"/>
        </w:rPr>
        <w:t xml:space="preserve"> </w:t>
      </w:r>
      <w:r w:rsidR="009A6048">
        <w:rPr>
          <w:rFonts w:ascii="Arial" w:hAnsi="Arial"/>
        </w:rPr>
        <w:t>festgehalten</w:t>
      </w:r>
      <w:r w:rsidRPr="00DE14BC">
        <w:rPr>
          <w:rFonts w:ascii="Arial" w:hAnsi="Arial"/>
        </w:rPr>
        <w:t>.</w:t>
      </w:r>
      <w:r w:rsidR="00CE43C3">
        <w:rPr>
          <w:rFonts w:ascii="Arial" w:hAnsi="Arial"/>
        </w:rPr>
        <w:t xml:space="preserve"> D</w:t>
      </w:r>
      <w:r>
        <w:rPr>
          <w:rFonts w:ascii="Arial" w:hAnsi="Arial"/>
        </w:rPr>
        <w:t xml:space="preserve">ie Hochschulen </w:t>
      </w:r>
      <w:r w:rsidR="00CE43C3">
        <w:rPr>
          <w:rFonts w:ascii="Arial" w:hAnsi="Arial"/>
        </w:rPr>
        <w:t>intensivieren</w:t>
      </w:r>
      <w:r w:rsidR="002735EB">
        <w:rPr>
          <w:rFonts w:ascii="Arial" w:hAnsi="Arial"/>
        </w:rPr>
        <w:t xml:space="preserve"> zu diesem Zweck</w:t>
      </w:r>
      <w:r w:rsidR="00CE43C3">
        <w:rPr>
          <w:rFonts w:ascii="Arial" w:hAnsi="Arial"/>
        </w:rPr>
        <w:t xml:space="preserve"> </w:t>
      </w:r>
      <w:r w:rsidR="009A6048">
        <w:rPr>
          <w:rFonts w:ascii="Arial" w:hAnsi="Arial"/>
        </w:rPr>
        <w:t xml:space="preserve">u.a. </w:t>
      </w:r>
      <w:r>
        <w:rPr>
          <w:rFonts w:ascii="Arial" w:hAnsi="Arial"/>
        </w:rPr>
        <w:t>d</w:t>
      </w:r>
      <w:r w:rsidRPr="00DE14BC">
        <w:rPr>
          <w:rFonts w:ascii="Arial" w:hAnsi="Arial"/>
        </w:rPr>
        <w:t>ie Einwerbung von Drittmitteln</w:t>
      </w:r>
      <w:r w:rsidR="009A6048">
        <w:rPr>
          <w:rFonts w:ascii="Arial" w:hAnsi="Arial"/>
        </w:rPr>
        <w:t xml:space="preserve"> aus nationalen und internationalen Förderprogrammen sowie der Wirtschaft</w:t>
      </w:r>
      <w:r w:rsidR="00977709">
        <w:rPr>
          <w:rFonts w:ascii="Arial" w:hAnsi="Arial"/>
        </w:rPr>
        <w:t>,</w:t>
      </w:r>
      <w:r w:rsidRPr="00DE14BC">
        <w:rPr>
          <w:rFonts w:ascii="Arial" w:hAnsi="Arial"/>
        </w:rPr>
        <w:t xml:space="preserve"> </w:t>
      </w:r>
      <w:r w:rsidR="00CE43C3">
        <w:rPr>
          <w:rFonts w:ascii="Arial" w:hAnsi="Arial"/>
        </w:rPr>
        <w:t>indem sie</w:t>
      </w:r>
      <w:r w:rsidR="00CE43C3" w:rsidRPr="00DE14BC">
        <w:rPr>
          <w:rFonts w:ascii="Arial" w:hAnsi="Arial"/>
        </w:rPr>
        <w:t xml:space="preserve"> interne Anreizsysteme </w:t>
      </w:r>
      <w:r w:rsidR="00CE43C3">
        <w:rPr>
          <w:rFonts w:ascii="Arial" w:hAnsi="Arial"/>
        </w:rPr>
        <w:t>ausbauen</w:t>
      </w:r>
      <w:r w:rsidR="00CE43C3" w:rsidRPr="00DE14BC">
        <w:rPr>
          <w:rFonts w:ascii="Arial" w:hAnsi="Arial"/>
        </w:rPr>
        <w:t xml:space="preserve"> und </w:t>
      </w:r>
      <w:r w:rsidRPr="00DE14BC">
        <w:rPr>
          <w:rFonts w:ascii="Arial" w:hAnsi="Arial"/>
        </w:rPr>
        <w:t>Antragsteller</w:t>
      </w:r>
      <w:r w:rsidR="00CE43C3" w:rsidRPr="00CE43C3">
        <w:rPr>
          <w:rFonts w:ascii="Arial" w:hAnsi="Arial"/>
        </w:rPr>
        <w:t xml:space="preserve"> </w:t>
      </w:r>
      <w:r w:rsidR="00CE43C3" w:rsidRPr="00DE14BC">
        <w:rPr>
          <w:rFonts w:ascii="Arial" w:hAnsi="Arial"/>
        </w:rPr>
        <w:t>unterstützen</w:t>
      </w:r>
      <w:r w:rsidR="002D410C">
        <w:rPr>
          <w:rFonts w:ascii="Arial" w:hAnsi="Arial"/>
        </w:rPr>
        <w:t>.</w:t>
      </w:r>
    </w:p>
    <w:p w:rsidR="002D410C" w:rsidRPr="00FB66B8" w:rsidRDefault="002D410C" w:rsidP="002D410C">
      <w:pPr>
        <w:pStyle w:val="Formatvorlage2"/>
        <w:spacing w:before="120" w:after="120"/>
        <w:rPr>
          <w:rFonts w:ascii="Arial" w:hAnsi="Arial"/>
        </w:rPr>
      </w:pPr>
      <w:r w:rsidRPr="00FB66B8">
        <w:rPr>
          <w:rFonts w:ascii="Arial" w:hAnsi="Arial"/>
        </w:rPr>
        <w:t>(</w:t>
      </w:r>
      <w:r w:rsidR="00F635F7">
        <w:rPr>
          <w:rFonts w:ascii="Arial" w:hAnsi="Arial"/>
        </w:rPr>
        <w:t>14</w:t>
      </w:r>
      <w:r w:rsidRPr="00FB66B8">
        <w:rPr>
          <w:rFonts w:ascii="Arial" w:hAnsi="Arial"/>
        </w:rPr>
        <w:t xml:space="preserve">) In der anwendungsbezogenen Forschung und im Wissens- und Technologietransfer orientieren sich die Hochschulen an der </w:t>
      </w:r>
      <w:r w:rsidR="0044564D">
        <w:rPr>
          <w:rFonts w:ascii="Arial" w:hAnsi="Arial"/>
        </w:rPr>
        <w:t xml:space="preserve">aktuellen </w:t>
      </w:r>
      <w:r w:rsidRPr="00FB66B8">
        <w:rPr>
          <w:rFonts w:ascii="Arial" w:hAnsi="Arial"/>
        </w:rPr>
        <w:t xml:space="preserve">regionalen Innovationsstrategie des Landes. Der Transfer von Forschungsergebnissen in das Umfeld der regionalen Wirtschaft </w:t>
      </w:r>
      <w:commentRangeStart w:id="2"/>
      <w:r w:rsidR="00165BC4">
        <w:rPr>
          <w:rFonts w:ascii="Arial" w:hAnsi="Arial"/>
          <w:color w:val="FF0000"/>
        </w:rPr>
        <w:t>sowie Gesellschaft</w:t>
      </w:r>
      <w:commentRangeEnd w:id="2"/>
      <w:r w:rsidR="00165BC4">
        <w:rPr>
          <w:rStyle w:val="Kommentarzeichen"/>
          <w:rFonts w:ascii="Arial" w:eastAsia="Calibri" w:hAnsi="Arial"/>
        </w:rPr>
        <w:commentReference w:id="2"/>
      </w:r>
      <w:r w:rsidR="00165BC4">
        <w:rPr>
          <w:rFonts w:ascii="Arial" w:hAnsi="Arial"/>
          <w:color w:val="FF0000"/>
        </w:rPr>
        <w:t xml:space="preserve"> </w:t>
      </w:r>
      <w:r w:rsidRPr="00FB66B8">
        <w:rPr>
          <w:rFonts w:ascii="Arial" w:hAnsi="Arial"/>
        </w:rPr>
        <w:t>des Landes wird intensiviert und bestehende Instrumente der Existenzgründung ausgebaut. Der Transfer von Fo</w:t>
      </w:r>
      <w:r w:rsidRPr="00FB66B8">
        <w:rPr>
          <w:rFonts w:ascii="Arial" w:hAnsi="Arial"/>
        </w:rPr>
        <w:t>r</w:t>
      </w:r>
      <w:r w:rsidRPr="00FB66B8">
        <w:rPr>
          <w:rFonts w:ascii="Arial" w:hAnsi="Arial"/>
        </w:rPr>
        <w:t>schungsergebnissen der Hochschulen in das industrielle Umfeld und in die regionale Wirtschaft des Landes wird insbesondere durch das Kompetenznetzwerk für anwendungsbezogene und transferor</w:t>
      </w:r>
      <w:r w:rsidRPr="00FB66B8">
        <w:rPr>
          <w:rFonts w:ascii="Arial" w:hAnsi="Arial"/>
        </w:rPr>
        <w:t>i</w:t>
      </w:r>
      <w:r w:rsidRPr="00FB66B8">
        <w:rPr>
          <w:rFonts w:ascii="Arial" w:hAnsi="Arial"/>
        </w:rPr>
        <w:t>entierte Forschung (KAT) unterstützt.</w:t>
      </w:r>
    </w:p>
    <w:p w:rsidR="00FB66B8" w:rsidRPr="00FB66B8" w:rsidRDefault="009E6185" w:rsidP="00FB66B8">
      <w:pPr>
        <w:pStyle w:val="Formatvorlage2"/>
        <w:spacing w:before="120" w:after="120"/>
        <w:rPr>
          <w:rFonts w:ascii="Arial" w:hAnsi="Arial"/>
        </w:rPr>
      </w:pPr>
      <w:r w:rsidRPr="00FB66B8">
        <w:rPr>
          <w:rFonts w:ascii="Arial" w:hAnsi="Arial"/>
        </w:rPr>
        <w:t>(</w:t>
      </w:r>
      <w:r w:rsidR="00F635F7">
        <w:rPr>
          <w:rFonts w:ascii="Arial" w:hAnsi="Arial"/>
        </w:rPr>
        <w:t>15</w:t>
      </w:r>
      <w:r w:rsidR="005C167F" w:rsidRPr="00FB66B8">
        <w:rPr>
          <w:rFonts w:ascii="Arial" w:hAnsi="Arial"/>
        </w:rPr>
        <w:t xml:space="preserve">) </w:t>
      </w:r>
      <w:r w:rsidR="000A59F3" w:rsidRPr="00FB66B8">
        <w:rPr>
          <w:rFonts w:ascii="Arial" w:hAnsi="Arial"/>
        </w:rPr>
        <w:t xml:space="preserve">Die Universitäten </w:t>
      </w:r>
      <w:r w:rsidR="00FB66B8" w:rsidRPr="00FB66B8">
        <w:rPr>
          <w:rFonts w:ascii="Arial" w:hAnsi="Arial"/>
        </w:rPr>
        <w:t>bauen bestehende Hürden beim</w:t>
      </w:r>
      <w:r w:rsidR="000A59F3" w:rsidRPr="00FB66B8">
        <w:rPr>
          <w:rFonts w:ascii="Arial" w:hAnsi="Arial"/>
        </w:rPr>
        <w:t xml:space="preserve"> Promotions</w:t>
      </w:r>
      <w:r w:rsidR="00DB4C54">
        <w:rPr>
          <w:rFonts w:ascii="Arial" w:hAnsi="Arial"/>
        </w:rPr>
        <w:t>z</w:t>
      </w:r>
      <w:r w:rsidR="000A59F3" w:rsidRPr="00FB66B8">
        <w:rPr>
          <w:rFonts w:ascii="Arial" w:hAnsi="Arial"/>
        </w:rPr>
        <w:t xml:space="preserve">ugang von Absolventinnen und Absolventen der Fachhochschulen </w:t>
      </w:r>
      <w:r w:rsidR="00FB66B8" w:rsidRPr="00FB66B8">
        <w:rPr>
          <w:rFonts w:ascii="Arial" w:hAnsi="Arial"/>
        </w:rPr>
        <w:t>ab</w:t>
      </w:r>
      <w:r w:rsidR="00071C29">
        <w:rPr>
          <w:rFonts w:ascii="Arial" w:hAnsi="Arial"/>
        </w:rPr>
        <w:t>, um</w:t>
      </w:r>
      <w:r w:rsidR="00155D99" w:rsidRPr="00FB66B8">
        <w:rPr>
          <w:rFonts w:ascii="Arial" w:hAnsi="Arial"/>
        </w:rPr>
        <w:t xml:space="preserve"> den Anteil kooperativer Promotionen</w:t>
      </w:r>
      <w:r w:rsidR="00FE694F">
        <w:rPr>
          <w:rFonts w:ascii="Arial" w:hAnsi="Arial"/>
        </w:rPr>
        <w:t xml:space="preserve"> zu erhöhen</w:t>
      </w:r>
      <w:r w:rsidR="000A59F3" w:rsidRPr="00FB66B8">
        <w:rPr>
          <w:rFonts w:ascii="Arial" w:hAnsi="Arial"/>
        </w:rPr>
        <w:t>.</w:t>
      </w:r>
      <w:r w:rsidR="005B2BD2">
        <w:rPr>
          <w:rFonts w:ascii="Arial" w:hAnsi="Arial"/>
        </w:rPr>
        <w:t xml:space="preserve"> Die Fachhochschul</w:t>
      </w:r>
      <w:r w:rsidR="00D5173A">
        <w:rPr>
          <w:rFonts w:ascii="Arial" w:hAnsi="Arial"/>
        </w:rPr>
        <w:t>absolventinnen und -</w:t>
      </w:r>
      <w:r w:rsidR="00071C29">
        <w:rPr>
          <w:rFonts w:ascii="Arial" w:hAnsi="Arial"/>
        </w:rPr>
        <w:t>absolventen</w:t>
      </w:r>
      <w:r w:rsidR="005B2BD2">
        <w:rPr>
          <w:rFonts w:ascii="Arial" w:hAnsi="Arial"/>
        </w:rPr>
        <w:t xml:space="preserve"> werden</w:t>
      </w:r>
      <w:r w:rsidR="00071C29">
        <w:rPr>
          <w:rFonts w:ascii="Arial" w:hAnsi="Arial"/>
        </w:rPr>
        <w:t xml:space="preserve"> gleichwertig</w:t>
      </w:r>
      <w:r w:rsidR="005B2BD2">
        <w:rPr>
          <w:rFonts w:ascii="Arial" w:hAnsi="Arial"/>
        </w:rPr>
        <w:t xml:space="preserve"> an der Landesgraduiertenförd</w:t>
      </w:r>
      <w:r w:rsidR="005B2BD2">
        <w:rPr>
          <w:rFonts w:ascii="Arial" w:hAnsi="Arial"/>
        </w:rPr>
        <w:t>e</w:t>
      </w:r>
      <w:r w:rsidR="005B2BD2">
        <w:rPr>
          <w:rFonts w:ascii="Arial" w:hAnsi="Arial"/>
        </w:rPr>
        <w:t>rung beteiligt.</w:t>
      </w:r>
    </w:p>
    <w:p w:rsidR="00990E24" w:rsidRPr="00FB66B8" w:rsidRDefault="009E6185" w:rsidP="008E49C9">
      <w:pPr>
        <w:pStyle w:val="Formatvorlage12ptLinks125cm"/>
        <w:spacing w:before="120" w:after="60"/>
        <w:ind w:left="0"/>
      </w:pPr>
      <w:r w:rsidRPr="00FB66B8">
        <w:t>(</w:t>
      </w:r>
      <w:r w:rsidR="00DD57B1">
        <w:t>16</w:t>
      </w:r>
      <w:r w:rsidR="00647BC3" w:rsidRPr="00FB66B8">
        <w:t>)</w:t>
      </w:r>
      <w:r w:rsidR="001A7CFE" w:rsidRPr="00FB66B8">
        <w:t xml:space="preserve"> </w:t>
      </w:r>
      <w:r w:rsidR="008E49C9" w:rsidRPr="00FB66B8">
        <w:t>Die</w:t>
      </w:r>
      <w:r w:rsidR="001A7CFE" w:rsidRPr="00FB66B8">
        <w:t xml:space="preserve"> Hochschulen </w:t>
      </w:r>
      <w:r w:rsidR="008E49C9" w:rsidRPr="00FB66B8">
        <w:t xml:space="preserve">werden </w:t>
      </w:r>
      <w:r w:rsidR="004D3309">
        <w:t xml:space="preserve">auch zukünftig </w:t>
      </w:r>
      <w:r w:rsidR="008E49C9" w:rsidRPr="00FB66B8">
        <w:t>ihren</w:t>
      </w:r>
      <w:r w:rsidR="001A7CFE" w:rsidRPr="00FB66B8">
        <w:t xml:space="preserve"> Verpflichtungen im Rahmen </w:t>
      </w:r>
      <w:r w:rsidR="00310990" w:rsidRPr="00FB66B8">
        <w:t>der sog</w:t>
      </w:r>
      <w:r w:rsidR="002B66F1">
        <w:t>enannten</w:t>
      </w:r>
      <w:r w:rsidR="00310990" w:rsidRPr="00FB66B8">
        <w:t xml:space="preserve"> </w:t>
      </w:r>
      <w:r w:rsidR="001A7CFE" w:rsidRPr="00FB66B8">
        <w:t xml:space="preserve">Third Mission gerecht. </w:t>
      </w:r>
      <w:r w:rsidR="00A13790" w:rsidRPr="00FB66B8">
        <w:t>Dies</w:t>
      </w:r>
      <w:r w:rsidR="00AD7DF5" w:rsidRPr="00FB66B8">
        <w:t>e</w:t>
      </w:r>
      <w:r w:rsidR="00A13790" w:rsidRPr="00FB66B8">
        <w:t xml:space="preserve"> </w:t>
      </w:r>
      <w:r w:rsidR="00AD7DF5" w:rsidRPr="00FB66B8">
        <w:t>umfasst</w:t>
      </w:r>
      <w:r w:rsidR="00A13790" w:rsidRPr="00FB66B8">
        <w:t xml:space="preserve"> neben </w:t>
      </w:r>
      <w:r w:rsidR="00647BC3" w:rsidRPr="00FB66B8">
        <w:t>genannten</w:t>
      </w:r>
      <w:r w:rsidR="00A13790" w:rsidRPr="00FB66B8">
        <w:t xml:space="preserve"> Aktivitäten zum Wissens- und Technologi</w:t>
      </w:r>
      <w:r w:rsidR="00A13790" w:rsidRPr="00FB66B8">
        <w:t>e</w:t>
      </w:r>
      <w:r w:rsidR="00A13790" w:rsidRPr="00FB66B8">
        <w:t>transfer auch die Unterstützung gesellschaftlich relevante</w:t>
      </w:r>
      <w:r w:rsidR="001447F7" w:rsidRPr="00FB66B8">
        <w:t>r</w:t>
      </w:r>
      <w:r w:rsidR="004D385B">
        <w:t>,</w:t>
      </w:r>
      <w:r w:rsidR="00A13790" w:rsidRPr="00FB66B8">
        <w:t xml:space="preserve"> soziale</w:t>
      </w:r>
      <w:r w:rsidR="001447F7" w:rsidRPr="00FB66B8">
        <w:t>r</w:t>
      </w:r>
      <w:r w:rsidR="00A13790" w:rsidRPr="00FB66B8">
        <w:t xml:space="preserve"> und kulturelle</w:t>
      </w:r>
      <w:r w:rsidR="001447F7" w:rsidRPr="00FB66B8">
        <w:t>r</w:t>
      </w:r>
      <w:r w:rsidR="00A13790" w:rsidRPr="00FB66B8">
        <w:t xml:space="preserve"> Aufgaben </w:t>
      </w:r>
      <w:r w:rsidR="00AD7DF5" w:rsidRPr="00FB66B8">
        <w:t xml:space="preserve">in </w:t>
      </w:r>
      <w:r w:rsidR="00A13790" w:rsidRPr="00FB66B8">
        <w:t>der Region.</w:t>
      </w:r>
    </w:p>
    <w:p w:rsidR="006D27CB" w:rsidRPr="00FB66B8" w:rsidRDefault="009E6185" w:rsidP="005443ED">
      <w:pPr>
        <w:pStyle w:val="Formatvorlage2"/>
        <w:spacing w:before="120" w:after="120"/>
        <w:rPr>
          <w:rFonts w:ascii="Arial" w:hAnsi="Arial"/>
        </w:rPr>
      </w:pPr>
      <w:r w:rsidRPr="00FB66B8">
        <w:rPr>
          <w:rFonts w:ascii="Arial" w:hAnsi="Arial"/>
        </w:rPr>
        <w:t>(</w:t>
      </w:r>
      <w:r w:rsidR="00DD57B1">
        <w:rPr>
          <w:rFonts w:ascii="Arial" w:hAnsi="Arial"/>
        </w:rPr>
        <w:t>17</w:t>
      </w:r>
      <w:r w:rsidR="0018353B" w:rsidRPr="00FB66B8">
        <w:rPr>
          <w:rFonts w:ascii="Arial" w:hAnsi="Arial"/>
        </w:rPr>
        <w:t>)</w:t>
      </w:r>
      <w:r w:rsidR="00B216E1" w:rsidRPr="00FB66B8">
        <w:rPr>
          <w:rFonts w:ascii="Arial" w:hAnsi="Arial"/>
        </w:rPr>
        <w:t xml:space="preserve"> </w:t>
      </w:r>
      <w:r w:rsidR="00FF37A0" w:rsidRPr="00FB66B8">
        <w:rPr>
          <w:rFonts w:ascii="Arial" w:hAnsi="Arial"/>
        </w:rPr>
        <w:t>Die Internationalisierung sehen d</w:t>
      </w:r>
      <w:r w:rsidR="00B216E1" w:rsidRPr="00FB66B8">
        <w:rPr>
          <w:rFonts w:ascii="Arial" w:hAnsi="Arial"/>
        </w:rPr>
        <w:t>ie Hochschulen als Querschnittsaufgabe an</w:t>
      </w:r>
      <w:r w:rsidR="00FF37A0" w:rsidRPr="00FB66B8">
        <w:rPr>
          <w:rFonts w:ascii="Arial" w:hAnsi="Arial"/>
        </w:rPr>
        <w:t>.</w:t>
      </w:r>
      <w:r w:rsidR="00B216E1" w:rsidRPr="00FB66B8">
        <w:rPr>
          <w:rFonts w:ascii="Arial" w:hAnsi="Arial"/>
        </w:rPr>
        <w:t xml:space="preserve"> Sie </w:t>
      </w:r>
      <w:r w:rsidR="00FF37A0" w:rsidRPr="00FB66B8">
        <w:rPr>
          <w:rFonts w:ascii="Arial" w:hAnsi="Arial"/>
        </w:rPr>
        <w:t xml:space="preserve">entwickeln ihre </w:t>
      </w:r>
      <w:r w:rsidR="00B216E1" w:rsidRPr="00FB66B8">
        <w:rPr>
          <w:rFonts w:ascii="Arial" w:hAnsi="Arial"/>
        </w:rPr>
        <w:t>International</w:t>
      </w:r>
      <w:r w:rsidR="006D27CB" w:rsidRPr="00FB66B8">
        <w:rPr>
          <w:rFonts w:ascii="Arial" w:hAnsi="Arial"/>
        </w:rPr>
        <w:t>i</w:t>
      </w:r>
      <w:r w:rsidR="00B216E1" w:rsidRPr="00FB66B8">
        <w:rPr>
          <w:rFonts w:ascii="Arial" w:hAnsi="Arial"/>
        </w:rPr>
        <w:t xml:space="preserve">sierungsstrategien </w:t>
      </w:r>
      <w:r w:rsidR="00FF37A0" w:rsidRPr="00FB66B8">
        <w:rPr>
          <w:rFonts w:ascii="Arial" w:hAnsi="Arial"/>
        </w:rPr>
        <w:t>dem eigenen Interesse entsprechend weiter und setzen diese in a</w:t>
      </w:r>
      <w:r w:rsidR="00FF37A0" w:rsidRPr="00FB66B8">
        <w:rPr>
          <w:rFonts w:ascii="Arial" w:hAnsi="Arial"/>
        </w:rPr>
        <w:t>n</w:t>
      </w:r>
      <w:r w:rsidR="00FF37A0" w:rsidRPr="00FB66B8">
        <w:rPr>
          <w:rFonts w:ascii="Arial" w:hAnsi="Arial"/>
        </w:rPr>
        <w:t>gemessener Zeit</w:t>
      </w:r>
      <w:r w:rsidR="00B216E1" w:rsidRPr="00FB66B8">
        <w:rPr>
          <w:rFonts w:ascii="Arial" w:hAnsi="Arial"/>
        </w:rPr>
        <w:t xml:space="preserve"> um.</w:t>
      </w:r>
      <w:r w:rsidR="006D27CB" w:rsidRPr="00FB66B8">
        <w:rPr>
          <w:rFonts w:ascii="Arial" w:hAnsi="Arial"/>
        </w:rPr>
        <w:t xml:space="preserve"> </w:t>
      </w:r>
      <w:r w:rsidR="005443ED" w:rsidRPr="00FB66B8">
        <w:rPr>
          <w:rFonts w:ascii="Arial" w:hAnsi="Arial"/>
        </w:rPr>
        <w:t xml:space="preserve">Sie </w:t>
      </w:r>
      <w:r w:rsidR="00715337" w:rsidRPr="00FB66B8">
        <w:rPr>
          <w:rFonts w:ascii="Arial" w:hAnsi="Arial"/>
        </w:rPr>
        <w:t xml:space="preserve">erhöhen </w:t>
      </w:r>
      <w:r w:rsidR="005443ED" w:rsidRPr="00FB66B8">
        <w:rPr>
          <w:rFonts w:ascii="Arial" w:hAnsi="Arial"/>
        </w:rPr>
        <w:t xml:space="preserve">in diesem Rahmen </w:t>
      </w:r>
      <w:r w:rsidR="00C96576" w:rsidRPr="00FB66B8">
        <w:rPr>
          <w:rFonts w:ascii="Arial" w:hAnsi="Arial"/>
        </w:rPr>
        <w:t xml:space="preserve">in geeigneten Fällen und nachfragegerecht </w:t>
      </w:r>
      <w:r w:rsidR="005443ED" w:rsidRPr="00FB66B8">
        <w:rPr>
          <w:rFonts w:ascii="Arial" w:hAnsi="Arial"/>
        </w:rPr>
        <w:t>de</w:t>
      </w:r>
      <w:r w:rsidR="00E9080A" w:rsidRPr="00FB66B8">
        <w:rPr>
          <w:rFonts w:ascii="Arial" w:hAnsi="Arial"/>
        </w:rPr>
        <w:t>n</w:t>
      </w:r>
      <w:r w:rsidR="005443ED" w:rsidRPr="00FB66B8">
        <w:rPr>
          <w:rFonts w:ascii="Arial" w:hAnsi="Arial"/>
        </w:rPr>
        <w:t xml:space="preserve"> Anteil </w:t>
      </w:r>
      <w:r w:rsidR="00FF37A0" w:rsidRPr="00FB66B8">
        <w:rPr>
          <w:rFonts w:ascii="Arial" w:hAnsi="Arial"/>
        </w:rPr>
        <w:t xml:space="preserve">internationaler </w:t>
      </w:r>
      <w:r w:rsidR="005443ED" w:rsidRPr="00FB66B8">
        <w:rPr>
          <w:rFonts w:ascii="Arial" w:hAnsi="Arial"/>
        </w:rPr>
        <w:t xml:space="preserve">Studiengänge. </w:t>
      </w:r>
      <w:r w:rsidR="00715337" w:rsidRPr="00FB66B8">
        <w:rPr>
          <w:rFonts w:ascii="Arial" w:hAnsi="Arial"/>
        </w:rPr>
        <w:t>Wo es noch nicht der Fall ist, entwickeln d</w:t>
      </w:r>
      <w:r w:rsidR="0018353B" w:rsidRPr="00FB66B8">
        <w:rPr>
          <w:rFonts w:ascii="Arial" w:hAnsi="Arial"/>
        </w:rPr>
        <w:t>ie Hochschulen</w:t>
      </w:r>
      <w:r w:rsidR="00C96576">
        <w:rPr>
          <w:rFonts w:ascii="Arial" w:hAnsi="Arial"/>
        </w:rPr>
        <w:t xml:space="preserve"> </w:t>
      </w:r>
      <w:r w:rsidR="00987F43" w:rsidRPr="00FB66B8">
        <w:rPr>
          <w:rFonts w:ascii="Arial" w:hAnsi="Arial"/>
        </w:rPr>
        <w:t>die</w:t>
      </w:r>
      <w:r w:rsidR="0018353B" w:rsidRPr="00FB66B8">
        <w:rPr>
          <w:rFonts w:ascii="Arial" w:hAnsi="Arial"/>
        </w:rPr>
        <w:t xml:space="preserve"> Curricula grundständiger Studiengänge </w:t>
      </w:r>
      <w:r w:rsidR="00987F43" w:rsidRPr="00FB66B8">
        <w:rPr>
          <w:rFonts w:ascii="Arial" w:hAnsi="Arial"/>
        </w:rPr>
        <w:t xml:space="preserve">so </w:t>
      </w:r>
      <w:r w:rsidR="0018353B" w:rsidRPr="00FB66B8">
        <w:rPr>
          <w:rFonts w:ascii="Arial" w:hAnsi="Arial"/>
        </w:rPr>
        <w:t xml:space="preserve">weiter, dass </w:t>
      </w:r>
      <w:r w:rsidR="00987F43" w:rsidRPr="00FB66B8">
        <w:rPr>
          <w:rFonts w:ascii="Arial" w:hAnsi="Arial"/>
        </w:rPr>
        <w:t xml:space="preserve">Auslandsaufenthalte </w:t>
      </w:r>
      <w:r w:rsidR="00715337" w:rsidRPr="00FB66B8">
        <w:rPr>
          <w:rFonts w:ascii="Arial" w:hAnsi="Arial"/>
        </w:rPr>
        <w:t xml:space="preserve">in der Regelstudienzeit </w:t>
      </w:r>
      <w:r w:rsidR="00987F43" w:rsidRPr="00FB66B8">
        <w:rPr>
          <w:rFonts w:ascii="Arial" w:hAnsi="Arial"/>
        </w:rPr>
        <w:t>möglich</w:t>
      </w:r>
      <w:r w:rsidR="00715337" w:rsidRPr="00FB66B8">
        <w:rPr>
          <w:rFonts w:ascii="Arial" w:hAnsi="Arial"/>
        </w:rPr>
        <w:t xml:space="preserve"> sind</w:t>
      </w:r>
      <w:r w:rsidR="00987F43" w:rsidRPr="00FB66B8">
        <w:rPr>
          <w:rFonts w:ascii="Arial" w:hAnsi="Arial"/>
        </w:rPr>
        <w:t>.</w:t>
      </w:r>
    </w:p>
    <w:p w:rsidR="007C55CC" w:rsidRPr="00FB66B8" w:rsidRDefault="007C55CC" w:rsidP="001F5AEF">
      <w:pPr>
        <w:pStyle w:val="Formatvorlage2"/>
        <w:spacing w:before="120" w:after="120"/>
        <w:rPr>
          <w:rFonts w:ascii="Arial" w:hAnsi="Arial"/>
        </w:rPr>
      </w:pPr>
      <w:r w:rsidRPr="00FB66B8">
        <w:rPr>
          <w:rFonts w:ascii="Arial" w:hAnsi="Arial"/>
        </w:rPr>
        <w:t>(1</w:t>
      </w:r>
      <w:r w:rsidR="00DD57B1">
        <w:rPr>
          <w:rFonts w:ascii="Arial" w:hAnsi="Arial"/>
        </w:rPr>
        <w:t>8</w:t>
      </w:r>
      <w:r w:rsidRPr="00FB66B8">
        <w:rPr>
          <w:rFonts w:ascii="Arial" w:hAnsi="Arial"/>
        </w:rPr>
        <w:t>) Das MW und die Hochschulen stimmen darin überein, dass, soweit im Laufe der Vereinbarung neben den vereinbarten Budgets im Landeshaushalt zusätzliche Mittel für die Hochschulen zur Verf</w:t>
      </w:r>
      <w:r w:rsidRPr="00FB66B8">
        <w:rPr>
          <w:rFonts w:ascii="Arial" w:hAnsi="Arial"/>
        </w:rPr>
        <w:t>ü</w:t>
      </w:r>
      <w:r w:rsidRPr="00FB66B8">
        <w:rPr>
          <w:rFonts w:ascii="Arial" w:hAnsi="Arial"/>
        </w:rPr>
        <w:t xml:space="preserve">gung stehen, </w:t>
      </w:r>
      <w:r w:rsidR="00310990" w:rsidRPr="00FB66B8">
        <w:rPr>
          <w:rFonts w:ascii="Arial" w:hAnsi="Arial"/>
        </w:rPr>
        <w:t xml:space="preserve">diese als </w:t>
      </w:r>
      <w:r w:rsidRPr="00FB66B8">
        <w:rPr>
          <w:rFonts w:ascii="Arial" w:hAnsi="Arial"/>
        </w:rPr>
        <w:t xml:space="preserve">Leistungsorientierte Mittelvergabe (LOM) </w:t>
      </w:r>
      <w:r w:rsidR="00310990" w:rsidRPr="00FB66B8">
        <w:rPr>
          <w:rFonts w:ascii="Arial" w:hAnsi="Arial"/>
        </w:rPr>
        <w:t xml:space="preserve">ausgestaltet </w:t>
      </w:r>
      <w:r w:rsidR="00755388">
        <w:rPr>
          <w:rFonts w:ascii="Arial" w:hAnsi="Arial"/>
        </w:rPr>
        <w:t>werden</w:t>
      </w:r>
      <w:r w:rsidR="00E66B8D">
        <w:rPr>
          <w:rFonts w:ascii="Arial" w:hAnsi="Arial"/>
        </w:rPr>
        <w:t xml:space="preserve"> k</w:t>
      </w:r>
      <w:r w:rsidR="004E5EC9">
        <w:rPr>
          <w:rFonts w:ascii="Arial" w:hAnsi="Arial"/>
        </w:rPr>
        <w:t>ö</w:t>
      </w:r>
      <w:r w:rsidR="00E66B8D">
        <w:rPr>
          <w:rFonts w:ascii="Arial" w:hAnsi="Arial"/>
        </w:rPr>
        <w:t>nn</w:t>
      </w:r>
      <w:r w:rsidR="004E5EC9">
        <w:rPr>
          <w:rFonts w:ascii="Arial" w:hAnsi="Arial"/>
        </w:rPr>
        <w:t>en</w:t>
      </w:r>
      <w:r w:rsidRPr="00FB66B8">
        <w:rPr>
          <w:rFonts w:ascii="Arial" w:hAnsi="Arial"/>
        </w:rPr>
        <w:t xml:space="preserve">. </w:t>
      </w:r>
      <w:commentRangeStart w:id="3"/>
      <w:r w:rsidRPr="00FB66B8">
        <w:rPr>
          <w:rFonts w:ascii="Arial" w:hAnsi="Arial"/>
        </w:rPr>
        <w:t xml:space="preserve">Die </w:t>
      </w:r>
      <w:r w:rsidR="00310990" w:rsidRPr="00FB66B8">
        <w:rPr>
          <w:rFonts w:ascii="Arial" w:hAnsi="Arial"/>
        </w:rPr>
        <w:t xml:space="preserve">genaue Umsetzung </w:t>
      </w:r>
      <w:r w:rsidR="0018635F">
        <w:rPr>
          <w:rFonts w:ascii="Arial" w:hAnsi="Arial"/>
        </w:rPr>
        <w:t xml:space="preserve">des Verfahrens </w:t>
      </w:r>
      <w:r w:rsidR="00310990" w:rsidRPr="00FB66B8">
        <w:rPr>
          <w:rFonts w:ascii="Arial" w:hAnsi="Arial"/>
        </w:rPr>
        <w:t xml:space="preserve">wird zwischen MW und </w:t>
      </w:r>
      <w:r w:rsidR="007E4D05">
        <w:rPr>
          <w:rFonts w:ascii="Arial" w:hAnsi="Arial"/>
        </w:rPr>
        <w:t xml:space="preserve">den </w:t>
      </w:r>
      <w:r w:rsidR="00310990" w:rsidRPr="00FB66B8">
        <w:rPr>
          <w:rFonts w:ascii="Arial" w:hAnsi="Arial"/>
        </w:rPr>
        <w:t>Hochschulen verhandelt</w:t>
      </w:r>
      <w:r w:rsidRPr="00FB66B8">
        <w:rPr>
          <w:rFonts w:ascii="Arial" w:hAnsi="Arial"/>
        </w:rPr>
        <w:t>.</w:t>
      </w:r>
      <w:commentRangeEnd w:id="3"/>
      <w:r w:rsidR="00165BC4">
        <w:rPr>
          <w:rStyle w:val="Kommentarzeichen"/>
          <w:rFonts w:ascii="Arial" w:eastAsia="Calibri" w:hAnsi="Arial"/>
        </w:rPr>
        <w:commentReference w:id="3"/>
      </w:r>
    </w:p>
    <w:p w:rsidR="008B38F0" w:rsidRPr="00FB66B8" w:rsidRDefault="009E6185" w:rsidP="001F5AEF">
      <w:pPr>
        <w:pStyle w:val="Formatvorlage2"/>
        <w:spacing w:before="120" w:after="120"/>
        <w:rPr>
          <w:rFonts w:ascii="Arial" w:hAnsi="Arial"/>
        </w:rPr>
      </w:pPr>
      <w:r w:rsidRPr="00FB66B8">
        <w:rPr>
          <w:rFonts w:ascii="Arial" w:hAnsi="Arial"/>
        </w:rPr>
        <w:t>(</w:t>
      </w:r>
      <w:r w:rsidR="00DD57B1">
        <w:rPr>
          <w:rFonts w:ascii="Arial" w:hAnsi="Arial"/>
        </w:rPr>
        <w:t>19</w:t>
      </w:r>
      <w:r w:rsidR="00695DD7" w:rsidRPr="00FB66B8">
        <w:rPr>
          <w:rFonts w:ascii="Arial" w:hAnsi="Arial"/>
        </w:rPr>
        <w:t>)</w:t>
      </w:r>
      <w:r w:rsidR="00D6619C" w:rsidRPr="00FB66B8">
        <w:rPr>
          <w:rFonts w:ascii="Arial" w:hAnsi="Arial"/>
        </w:rPr>
        <w:t xml:space="preserve"> Die Gleichstellung aller Hochschulangehörigen im Sinne gleichberechtigter Zugänge zu Stellen, Qualifikationsangeboten und Entscheidungsgremien ist erklärtes Ziel der Hochschulen.</w:t>
      </w:r>
      <w:r w:rsidR="001F5AEF" w:rsidRPr="00FB66B8">
        <w:rPr>
          <w:rFonts w:ascii="Arial" w:hAnsi="Arial"/>
        </w:rPr>
        <w:t xml:space="preserve"> </w:t>
      </w:r>
      <w:r w:rsidR="002E555E" w:rsidRPr="00FB66B8">
        <w:rPr>
          <w:rFonts w:ascii="Arial" w:hAnsi="Arial"/>
        </w:rPr>
        <w:t>Das Lande</w:t>
      </w:r>
      <w:r w:rsidR="002E555E" w:rsidRPr="00FB66B8">
        <w:rPr>
          <w:rFonts w:ascii="Arial" w:hAnsi="Arial"/>
        </w:rPr>
        <w:t>s</w:t>
      </w:r>
      <w:r w:rsidR="002E555E" w:rsidRPr="00FB66B8">
        <w:rPr>
          <w:rFonts w:ascii="Arial" w:hAnsi="Arial"/>
        </w:rPr>
        <w:t>programm für ein geschlechtergerechtes Sachsen-Anhalt wird durch die Hochschulen umgesetzt.</w:t>
      </w:r>
      <w:r w:rsidR="002E555E">
        <w:rPr>
          <w:rFonts w:ascii="Arial" w:hAnsi="Arial"/>
        </w:rPr>
        <w:t xml:space="preserve"> </w:t>
      </w:r>
      <w:r w:rsidR="00323679">
        <w:rPr>
          <w:rFonts w:ascii="Arial" w:hAnsi="Arial"/>
        </w:rPr>
        <w:t xml:space="preserve">Mittelfristiges Ziel ist das Erreichen der darin enthaltenen Quoten. </w:t>
      </w:r>
      <w:r w:rsidR="008B38F0" w:rsidRPr="00FB66B8">
        <w:rPr>
          <w:rFonts w:ascii="Arial" w:hAnsi="Arial"/>
        </w:rPr>
        <w:t xml:space="preserve">Die </w:t>
      </w:r>
      <w:r w:rsidR="002E555E">
        <w:rPr>
          <w:rFonts w:ascii="Arial" w:hAnsi="Arial"/>
        </w:rPr>
        <w:t>Universitäten</w:t>
      </w:r>
      <w:r w:rsidR="008B38F0" w:rsidRPr="00FB66B8">
        <w:rPr>
          <w:rFonts w:ascii="Arial" w:hAnsi="Arial"/>
        </w:rPr>
        <w:t xml:space="preserve"> führen</w:t>
      </w:r>
      <w:r w:rsidR="002A4B18" w:rsidRPr="00FB66B8">
        <w:rPr>
          <w:rFonts w:ascii="Arial" w:hAnsi="Arial"/>
        </w:rPr>
        <w:t xml:space="preserve"> entspr</w:t>
      </w:r>
      <w:r w:rsidR="002A4B18" w:rsidRPr="00FB66B8">
        <w:rPr>
          <w:rFonts w:ascii="Arial" w:hAnsi="Arial"/>
        </w:rPr>
        <w:t>e</w:t>
      </w:r>
      <w:r w:rsidR="002A4B18" w:rsidRPr="00FB66B8">
        <w:rPr>
          <w:rFonts w:ascii="Arial" w:hAnsi="Arial"/>
        </w:rPr>
        <w:t>chend der Empfehlungen des Wissenschaftsrates</w:t>
      </w:r>
      <w:r w:rsidR="0085352A">
        <w:rPr>
          <w:rFonts w:ascii="Arial" w:hAnsi="Arial"/>
        </w:rPr>
        <w:t>,</w:t>
      </w:r>
      <w:r w:rsidR="002A4B18" w:rsidRPr="00FB66B8">
        <w:rPr>
          <w:rFonts w:ascii="Arial" w:hAnsi="Arial"/>
        </w:rPr>
        <w:t xml:space="preserve"> der Deutschen Forschungsgemeinschaft</w:t>
      </w:r>
      <w:r w:rsidR="0085352A">
        <w:rPr>
          <w:rFonts w:ascii="Arial" w:hAnsi="Arial"/>
        </w:rPr>
        <w:t xml:space="preserve"> und B</w:t>
      </w:r>
      <w:r w:rsidR="0085352A">
        <w:rPr>
          <w:rFonts w:ascii="Arial" w:hAnsi="Arial"/>
        </w:rPr>
        <w:t>e</w:t>
      </w:r>
      <w:r w:rsidR="0085352A">
        <w:rPr>
          <w:rFonts w:ascii="Arial" w:hAnsi="Arial"/>
        </w:rPr>
        <w:t>schlüsse des Landtages</w:t>
      </w:r>
      <w:r w:rsidR="002A4B18" w:rsidRPr="00FB66B8">
        <w:rPr>
          <w:rFonts w:ascii="Arial" w:hAnsi="Arial"/>
        </w:rPr>
        <w:t xml:space="preserve"> </w:t>
      </w:r>
      <w:r w:rsidR="006D7261">
        <w:rPr>
          <w:rFonts w:ascii="Arial" w:hAnsi="Arial"/>
        </w:rPr>
        <w:t xml:space="preserve">Sachsen-Anhalts </w:t>
      </w:r>
      <w:r w:rsidR="008B38F0" w:rsidRPr="00FB66B8">
        <w:rPr>
          <w:rFonts w:ascii="Arial" w:hAnsi="Arial"/>
        </w:rPr>
        <w:t>im Rahmen der</w:t>
      </w:r>
      <w:r w:rsidR="000A3BBE" w:rsidRPr="00FB66B8">
        <w:rPr>
          <w:rFonts w:ascii="Arial" w:hAnsi="Arial"/>
        </w:rPr>
        <w:t xml:space="preserve"> Umsetzung der</w:t>
      </w:r>
      <w:r w:rsidR="008B38F0" w:rsidRPr="00FB66B8">
        <w:rPr>
          <w:rFonts w:ascii="Arial" w:hAnsi="Arial"/>
        </w:rPr>
        <w:t xml:space="preserve"> Geschlechtergerechtigkeit </w:t>
      </w:r>
      <w:r w:rsidR="002A4B18" w:rsidRPr="00FB66B8">
        <w:rPr>
          <w:rFonts w:ascii="Arial" w:hAnsi="Arial"/>
        </w:rPr>
        <w:t>das</w:t>
      </w:r>
      <w:r w:rsidR="008B38F0" w:rsidRPr="00FB66B8">
        <w:rPr>
          <w:rFonts w:ascii="Arial" w:hAnsi="Arial"/>
        </w:rPr>
        <w:t xml:space="preserve"> Kaskadenmodell </w:t>
      </w:r>
      <w:r w:rsidR="00BD0C9C" w:rsidRPr="00FB66B8">
        <w:rPr>
          <w:rFonts w:ascii="Arial" w:hAnsi="Arial"/>
        </w:rPr>
        <w:t xml:space="preserve">unter </w:t>
      </w:r>
      <w:r w:rsidR="00BD0C9C">
        <w:rPr>
          <w:rFonts w:ascii="Arial" w:hAnsi="Arial"/>
        </w:rPr>
        <w:t>Wahrung der fachlichen Qualität</w:t>
      </w:r>
      <w:r w:rsidR="00BD0C9C" w:rsidRPr="00FB66B8">
        <w:rPr>
          <w:rFonts w:ascii="Arial" w:hAnsi="Arial"/>
        </w:rPr>
        <w:t xml:space="preserve"> </w:t>
      </w:r>
      <w:r w:rsidR="008B38F0" w:rsidRPr="00FB66B8">
        <w:rPr>
          <w:rFonts w:ascii="Arial" w:hAnsi="Arial"/>
        </w:rPr>
        <w:t>an ihrer Einrichtung ein</w:t>
      </w:r>
      <w:r w:rsidR="00695DD7" w:rsidRPr="00FB66B8">
        <w:rPr>
          <w:rFonts w:ascii="Arial" w:hAnsi="Arial"/>
        </w:rPr>
        <w:t xml:space="preserve">. </w:t>
      </w:r>
      <w:r w:rsidR="002A4B18" w:rsidRPr="00FB66B8">
        <w:rPr>
          <w:rFonts w:ascii="Arial" w:hAnsi="Arial"/>
        </w:rPr>
        <w:t xml:space="preserve">Die regelmäßige Veröffentlichung der entsprechenden Zahlen für die einzelnen Fakultäten </w:t>
      </w:r>
      <w:r w:rsidR="00967CEB" w:rsidRPr="00FB66B8">
        <w:rPr>
          <w:rFonts w:ascii="Arial" w:hAnsi="Arial"/>
        </w:rPr>
        <w:t xml:space="preserve">in den Rektoratsberichten </w:t>
      </w:r>
      <w:r w:rsidR="00695DD7" w:rsidRPr="00FB66B8">
        <w:rPr>
          <w:rFonts w:ascii="Arial" w:hAnsi="Arial"/>
        </w:rPr>
        <w:t xml:space="preserve">durch die Hochschulen </w:t>
      </w:r>
      <w:r w:rsidR="002A4B18" w:rsidRPr="00FB66B8">
        <w:rPr>
          <w:rFonts w:ascii="Arial" w:hAnsi="Arial"/>
        </w:rPr>
        <w:t>sorgt für Transparenz, lässt Gleichstellungserfolge sichtbar werden und e</w:t>
      </w:r>
      <w:r w:rsidR="002A4B18" w:rsidRPr="00FB66B8">
        <w:rPr>
          <w:rFonts w:ascii="Arial" w:hAnsi="Arial"/>
        </w:rPr>
        <w:t>r</w:t>
      </w:r>
      <w:r w:rsidR="002A4B18" w:rsidRPr="00FB66B8">
        <w:rPr>
          <w:rFonts w:ascii="Arial" w:hAnsi="Arial"/>
        </w:rPr>
        <w:t xml:space="preserve">möglicht es, die </w:t>
      </w:r>
      <w:r w:rsidR="00310990" w:rsidRPr="00FB66B8">
        <w:rPr>
          <w:rFonts w:ascii="Arial" w:hAnsi="Arial"/>
        </w:rPr>
        <w:t xml:space="preserve">Anteile der Geschlechter </w:t>
      </w:r>
      <w:r w:rsidR="002A4B18" w:rsidRPr="00FB66B8">
        <w:rPr>
          <w:rFonts w:ascii="Arial" w:hAnsi="Arial"/>
        </w:rPr>
        <w:t xml:space="preserve">auf den einzelnen Karrierestufen im Kontext der </w:t>
      </w:r>
      <w:r w:rsidR="00310990" w:rsidRPr="00FB66B8">
        <w:rPr>
          <w:rFonts w:ascii="Arial" w:hAnsi="Arial"/>
        </w:rPr>
        <w:t xml:space="preserve">jeweiligen </w:t>
      </w:r>
      <w:r w:rsidR="002A4B18" w:rsidRPr="00FB66B8">
        <w:rPr>
          <w:rFonts w:ascii="Arial" w:hAnsi="Arial"/>
        </w:rPr>
        <w:t>Fakultät</w:t>
      </w:r>
      <w:r w:rsidR="00310990" w:rsidRPr="00FB66B8">
        <w:rPr>
          <w:rFonts w:ascii="Arial" w:hAnsi="Arial"/>
        </w:rPr>
        <w:t>en</w:t>
      </w:r>
      <w:r w:rsidR="002A4B18" w:rsidRPr="00FB66B8">
        <w:rPr>
          <w:rFonts w:ascii="Arial" w:hAnsi="Arial"/>
        </w:rPr>
        <w:t xml:space="preserve"> zu sehen.</w:t>
      </w:r>
      <w:r w:rsidR="00E45AEF" w:rsidRPr="00FB66B8">
        <w:rPr>
          <w:rFonts w:ascii="Arial" w:hAnsi="Arial"/>
        </w:rPr>
        <w:t xml:space="preserve"> </w:t>
      </w:r>
    </w:p>
    <w:p w:rsidR="006034E6" w:rsidRPr="00FB66B8" w:rsidRDefault="009E6185" w:rsidP="00C716F4">
      <w:pPr>
        <w:pStyle w:val="Formatvorlage2"/>
        <w:spacing w:before="120" w:after="120"/>
        <w:rPr>
          <w:rFonts w:ascii="Arial" w:hAnsi="Arial"/>
        </w:rPr>
      </w:pPr>
      <w:r w:rsidRPr="00FB66B8">
        <w:rPr>
          <w:rFonts w:ascii="Arial" w:hAnsi="Arial"/>
        </w:rPr>
        <w:t>(2</w:t>
      </w:r>
      <w:r w:rsidR="00DD57B1">
        <w:rPr>
          <w:rFonts w:ascii="Arial" w:hAnsi="Arial"/>
        </w:rPr>
        <w:t>0</w:t>
      </w:r>
      <w:r w:rsidR="00695DD7" w:rsidRPr="00FB66B8">
        <w:rPr>
          <w:rFonts w:ascii="Arial" w:hAnsi="Arial"/>
        </w:rPr>
        <w:t xml:space="preserve">) </w:t>
      </w:r>
      <w:r w:rsidR="00A33DF3" w:rsidRPr="00FB66B8">
        <w:rPr>
          <w:rFonts w:ascii="Arial" w:hAnsi="Arial"/>
        </w:rPr>
        <w:t xml:space="preserve">Die </w:t>
      </w:r>
      <w:r w:rsidR="00AB341F" w:rsidRPr="00FB66B8">
        <w:rPr>
          <w:rFonts w:ascii="Arial" w:hAnsi="Arial"/>
        </w:rPr>
        <w:t xml:space="preserve">Hochschulen </w:t>
      </w:r>
      <w:r w:rsidR="00A33DF3" w:rsidRPr="00FB66B8">
        <w:rPr>
          <w:rFonts w:ascii="Arial" w:hAnsi="Arial"/>
        </w:rPr>
        <w:t xml:space="preserve">leisten ihren Beitrag </w:t>
      </w:r>
      <w:r w:rsidR="00AB341F" w:rsidRPr="00FB66B8">
        <w:rPr>
          <w:rFonts w:ascii="Arial" w:hAnsi="Arial"/>
        </w:rPr>
        <w:t>zur gleichberechtigten Teilhabe behinderter Mitarbeiteri</w:t>
      </w:r>
      <w:r w:rsidR="00AB341F" w:rsidRPr="00FB66B8">
        <w:rPr>
          <w:rFonts w:ascii="Arial" w:hAnsi="Arial"/>
        </w:rPr>
        <w:t>n</w:t>
      </w:r>
      <w:r w:rsidR="00AB341F" w:rsidRPr="00FB66B8">
        <w:rPr>
          <w:rFonts w:ascii="Arial" w:hAnsi="Arial"/>
        </w:rPr>
        <w:t>nen</w:t>
      </w:r>
      <w:r w:rsidR="00F05BDA">
        <w:rPr>
          <w:rFonts w:ascii="Arial" w:hAnsi="Arial"/>
        </w:rPr>
        <w:t>,</w:t>
      </w:r>
      <w:r w:rsidR="00AB341F" w:rsidRPr="00FB66B8">
        <w:rPr>
          <w:rFonts w:ascii="Arial" w:hAnsi="Arial"/>
        </w:rPr>
        <w:t xml:space="preserve"> Mitarbeiter </w:t>
      </w:r>
      <w:r w:rsidR="00F05BDA">
        <w:rPr>
          <w:rFonts w:ascii="Arial" w:hAnsi="Arial"/>
        </w:rPr>
        <w:t>und</w:t>
      </w:r>
      <w:r w:rsidR="00AB341F" w:rsidRPr="00FB66B8">
        <w:rPr>
          <w:rFonts w:ascii="Arial" w:hAnsi="Arial"/>
        </w:rPr>
        <w:t xml:space="preserve"> Studierender </w:t>
      </w:r>
      <w:r w:rsidR="00F05BDA">
        <w:rPr>
          <w:rFonts w:ascii="Arial" w:hAnsi="Arial"/>
        </w:rPr>
        <w:t>durch</w:t>
      </w:r>
      <w:r w:rsidR="00AB341F" w:rsidRPr="00FB66B8">
        <w:rPr>
          <w:rFonts w:ascii="Arial" w:hAnsi="Arial"/>
        </w:rPr>
        <w:t xml:space="preserve"> Umsetzung der </w:t>
      </w:r>
      <w:r w:rsidR="00F05BDA">
        <w:rPr>
          <w:rFonts w:ascii="Arial" w:hAnsi="Arial"/>
        </w:rPr>
        <w:t>V</w:t>
      </w:r>
      <w:r w:rsidR="00AB341F" w:rsidRPr="00FB66B8">
        <w:rPr>
          <w:rFonts w:ascii="Arial" w:hAnsi="Arial"/>
        </w:rPr>
        <w:t xml:space="preserve">N-Behindertenrechtskonvention und des </w:t>
      </w:r>
      <w:r w:rsidR="00AB341F" w:rsidRPr="00FB66B8">
        <w:rPr>
          <w:rFonts w:ascii="Arial" w:hAnsi="Arial"/>
        </w:rPr>
        <w:lastRenderedPageBreak/>
        <w:t xml:space="preserve">diesbezüglichen Landesaktionsplanes einschließlich </w:t>
      </w:r>
      <w:r w:rsidR="00A33DF3" w:rsidRPr="00FB66B8">
        <w:rPr>
          <w:rFonts w:ascii="Arial" w:hAnsi="Arial"/>
        </w:rPr>
        <w:t xml:space="preserve">der </w:t>
      </w:r>
      <w:r w:rsidR="00AB341F" w:rsidRPr="00FB66B8">
        <w:rPr>
          <w:rFonts w:ascii="Arial" w:hAnsi="Arial"/>
        </w:rPr>
        <w:t xml:space="preserve">Maßnahmen </w:t>
      </w:r>
      <w:r w:rsidR="00A33DF3" w:rsidRPr="00FB66B8">
        <w:rPr>
          <w:rFonts w:ascii="Arial" w:hAnsi="Arial"/>
        </w:rPr>
        <w:t>zur</w:t>
      </w:r>
      <w:r w:rsidR="00AB341F" w:rsidRPr="00FB66B8">
        <w:rPr>
          <w:rFonts w:ascii="Arial" w:hAnsi="Arial"/>
        </w:rPr>
        <w:t xml:space="preserve"> barrierefreien Gestaltung des Hochschulbetrie</w:t>
      </w:r>
      <w:r w:rsidR="00A33DF3" w:rsidRPr="00FB66B8">
        <w:rPr>
          <w:rFonts w:ascii="Arial" w:hAnsi="Arial"/>
        </w:rPr>
        <w:t>bes.</w:t>
      </w:r>
    </w:p>
    <w:p w:rsidR="006034E6" w:rsidRPr="00FB66B8" w:rsidRDefault="00DD57B1" w:rsidP="00942C59">
      <w:pPr>
        <w:pStyle w:val="Formatvorlage2"/>
        <w:spacing w:before="120" w:after="120"/>
        <w:rPr>
          <w:rFonts w:ascii="Arial" w:hAnsi="Arial"/>
        </w:rPr>
      </w:pPr>
      <w:r>
        <w:rPr>
          <w:rFonts w:ascii="Arial" w:hAnsi="Arial"/>
        </w:rPr>
        <w:t>(21</w:t>
      </w:r>
      <w:r w:rsidR="00695DD7" w:rsidRPr="00FB66B8">
        <w:rPr>
          <w:rFonts w:ascii="Arial" w:hAnsi="Arial"/>
        </w:rPr>
        <w:t>)</w:t>
      </w:r>
      <w:r w:rsidR="006034E6" w:rsidRPr="00FB66B8">
        <w:rPr>
          <w:rFonts w:ascii="Arial" w:hAnsi="Arial"/>
        </w:rPr>
        <w:t xml:space="preserve"> </w:t>
      </w:r>
      <w:r w:rsidR="00942C59" w:rsidRPr="00FB66B8">
        <w:rPr>
          <w:rFonts w:ascii="Arial" w:hAnsi="Arial"/>
        </w:rPr>
        <w:t>I</w:t>
      </w:r>
      <w:r w:rsidR="000A3BBE" w:rsidRPr="00FB66B8">
        <w:rPr>
          <w:rFonts w:ascii="Arial" w:hAnsi="Arial"/>
        </w:rPr>
        <w:t xml:space="preserve">m Zusammenhang mit dem </w:t>
      </w:r>
      <w:r w:rsidR="006034E6" w:rsidRPr="00FB66B8">
        <w:rPr>
          <w:rFonts w:ascii="Arial" w:hAnsi="Arial"/>
        </w:rPr>
        <w:t xml:space="preserve">Audit </w:t>
      </w:r>
      <w:r w:rsidR="001447F7" w:rsidRPr="00FB66B8">
        <w:rPr>
          <w:rFonts w:ascii="Arial" w:hAnsi="Arial"/>
        </w:rPr>
        <w:t>„</w:t>
      </w:r>
      <w:r w:rsidR="006034E6" w:rsidRPr="00FB66B8">
        <w:rPr>
          <w:rFonts w:ascii="Arial" w:hAnsi="Arial"/>
        </w:rPr>
        <w:t>Familiengerechte Hochschule</w:t>
      </w:r>
      <w:r w:rsidR="001447F7" w:rsidRPr="00FB66B8">
        <w:rPr>
          <w:rFonts w:ascii="Arial" w:hAnsi="Arial"/>
        </w:rPr>
        <w:t>“</w:t>
      </w:r>
      <w:r w:rsidR="006034E6" w:rsidRPr="00FB66B8">
        <w:rPr>
          <w:rFonts w:ascii="Arial" w:hAnsi="Arial"/>
        </w:rPr>
        <w:t xml:space="preserve"> </w:t>
      </w:r>
      <w:r w:rsidR="00942C59" w:rsidRPr="00FB66B8">
        <w:rPr>
          <w:rFonts w:ascii="Arial" w:hAnsi="Arial"/>
        </w:rPr>
        <w:t>werden</w:t>
      </w:r>
      <w:r w:rsidR="006034E6" w:rsidRPr="00FB66B8">
        <w:rPr>
          <w:rFonts w:ascii="Arial" w:hAnsi="Arial"/>
        </w:rPr>
        <w:t xml:space="preserve"> Maßnahmen zur Ve</w:t>
      </w:r>
      <w:r w:rsidR="006034E6" w:rsidRPr="00FB66B8">
        <w:rPr>
          <w:rFonts w:ascii="Arial" w:hAnsi="Arial"/>
        </w:rPr>
        <w:t>r</w:t>
      </w:r>
      <w:r w:rsidR="006034E6" w:rsidRPr="00FB66B8">
        <w:rPr>
          <w:rFonts w:ascii="Arial" w:hAnsi="Arial"/>
        </w:rPr>
        <w:t xml:space="preserve">besserung der familiengerechten Studienbedingungen sowie </w:t>
      </w:r>
      <w:r w:rsidR="00942C59" w:rsidRPr="00FB66B8">
        <w:rPr>
          <w:rFonts w:ascii="Arial" w:hAnsi="Arial"/>
        </w:rPr>
        <w:t>zur</w:t>
      </w:r>
      <w:r w:rsidR="006034E6" w:rsidRPr="00FB66B8">
        <w:rPr>
          <w:rFonts w:ascii="Arial" w:hAnsi="Arial"/>
        </w:rPr>
        <w:t xml:space="preserve"> besseren Vereinbarkeit von Beruf und Familie </w:t>
      </w:r>
      <w:r w:rsidR="00942C59" w:rsidRPr="00FB66B8">
        <w:rPr>
          <w:rFonts w:ascii="Arial" w:hAnsi="Arial"/>
        </w:rPr>
        <w:t xml:space="preserve">durch die Hochschulen </w:t>
      </w:r>
      <w:r w:rsidR="00695DD7" w:rsidRPr="00FB66B8">
        <w:rPr>
          <w:rFonts w:ascii="Arial" w:hAnsi="Arial"/>
        </w:rPr>
        <w:t>fortgesetzt und weiterentwickelt</w:t>
      </w:r>
      <w:r w:rsidR="006034E6" w:rsidRPr="00FB66B8">
        <w:rPr>
          <w:rFonts w:ascii="Arial" w:hAnsi="Arial"/>
        </w:rPr>
        <w:t>.</w:t>
      </w:r>
    </w:p>
    <w:p w:rsidR="00C82A19" w:rsidRPr="00FB66B8" w:rsidRDefault="00C82A19" w:rsidP="00C82A19">
      <w:pPr>
        <w:pStyle w:val="Formatvorlage2"/>
        <w:spacing w:before="120"/>
        <w:rPr>
          <w:rFonts w:ascii="Arial" w:hAnsi="Arial"/>
        </w:rPr>
      </w:pPr>
      <w:r w:rsidRPr="00FB66B8">
        <w:rPr>
          <w:rFonts w:ascii="Arial" w:hAnsi="Arial"/>
        </w:rPr>
        <w:t>(</w:t>
      </w:r>
      <w:r w:rsidR="00DD57B1">
        <w:rPr>
          <w:rFonts w:ascii="Arial" w:hAnsi="Arial"/>
        </w:rPr>
        <w:t>2</w:t>
      </w:r>
      <w:r w:rsidR="008B73A1">
        <w:rPr>
          <w:rFonts w:ascii="Arial" w:hAnsi="Arial"/>
        </w:rPr>
        <w:t>2</w:t>
      </w:r>
      <w:r w:rsidRPr="00FB66B8">
        <w:rPr>
          <w:rFonts w:ascii="Arial" w:hAnsi="Arial"/>
        </w:rPr>
        <w:t>) Die Hochschulen errichten einen Beirat</w:t>
      </w:r>
      <w:r w:rsidR="00E66B8D">
        <w:rPr>
          <w:rFonts w:ascii="Arial" w:hAnsi="Arial"/>
        </w:rPr>
        <w:t xml:space="preserve"> für Informationstechnik</w:t>
      </w:r>
      <w:r w:rsidRPr="00FB66B8">
        <w:rPr>
          <w:rFonts w:ascii="Arial" w:hAnsi="Arial"/>
        </w:rPr>
        <w:t xml:space="preserve"> der Hochschulen des Landes Sachsen-Anhalt</w:t>
      </w:r>
      <w:r w:rsidR="00E66B8D">
        <w:rPr>
          <w:rFonts w:ascii="Arial" w:hAnsi="Arial"/>
        </w:rPr>
        <w:t xml:space="preserve"> </w:t>
      </w:r>
      <w:r w:rsidRPr="00FB66B8">
        <w:rPr>
          <w:rFonts w:ascii="Arial" w:hAnsi="Arial"/>
        </w:rPr>
        <w:t>als Nachfolgeorganisation der bisherigen Landes-Hochschul-Datenverarbeitungs-Komm</w:t>
      </w:r>
      <w:r w:rsidR="00E66B8D">
        <w:rPr>
          <w:rFonts w:ascii="Arial" w:hAnsi="Arial"/>
        </w:rPr>
        <w:t>ission (LDVK).</w:t>
      </w:r>
    </w:p>
    <w:p w:rsidR="005541B8" w:rsidRDefault="007C55CC" w:rsidP="005541B8">
      <w:pPr>
        <w:pStyle w:val="Formatvorlage2"/>
        <w:spacing w:before="120"/>
        <w:rPr>
          <w:rFonts w:ascii="Arial" w:hAnsi="Arial"/>
        </w:rPr>
      </w:pPr>
      <w:r w:rsidRPr="00FB66B8">
        <w:rPr>
          <w:rFonts w:ascii="Arial" w:hAnsi="Arial"/>
        </w:rPr>
        <w:t>(</w:t>
      </w:r>
      <w:r w:rsidR="008B73A1">
        <w:rPr>
          <w:rFonts w:ascii="Arial" w:hAnsi="Arial"/>
        </w:rPr>
        <w:t>23</w:t>
      </w:r>
      <w:r w:rsidRPr="00FB66B8">
        <w:rPr>
          <w:rFonts w:ascii="Arial" w:hAnsi="Arial"/>
        </w:rPr>
        <w:t xml:space="preserve">) Die Hochschulen intensivieren den </w:t>
      </w:r>
      <w:r w:rsidR="005541B8">
        <w:rPr>
          <w:rFonts w:ascii="Arial" w:hAnsi="Arial"/>
        </w:rPr>
        <w:t xml:space="preserve">konzeptionellen </w:t>
      </w:r>
      <w:r w:rsidRPr="00FB66B8">
        <w:rPr>
          <w:rFonts w:ascii="Arial" w:hAnsi="Arial"/>
        </w:rPr>
        <w:t>Ausbau der digitalen Hochschulbildung</w:t>
      </w:r>
      <w:r w:rsidR="00B92D23">
        <w:rPr>
          <w:rFonts w:ascii="Arial" w:hAnsi="Arial"/>
        </w:rPr>
        <w:t xml:space="preserve"> im Rahmen ihrer finanziellen Möglichkeiten</w:t>
      </w:r>
      <w:r w:rsidRPr="00FB66B8">
        <w:rPr>
          <w:rFonts w:ascii="Arial" w:hAnsi="Arial"/>
        </w:rPr>
        <w:t>. Sie sollen insbesondere flexible Lernformen weiter entw</w:t>
      </w:r>
      <w:r w:rsidRPr="00FB66B8">
        <w:rPr>
          <w:rFonts w:ascii="Arial" w:hAnsi="Arial"/>
        </w:rPr>
        <w:t>i</w:t>
      </w:r>
      <w:r w:rsidRPr="00FB66B8">
        <w:rPr>
          <w:rFonts w:ascii="Arial" w:hAnsi="Arial"/>
        </w:rPr>
        <w:t>ckeln, die die wissenschaftliche Lehre optimieren. Durch die Vernetzung der Studien- und Lehrang</w:t>
      </w:r>
      <w:r w:rsidRPr="00FB66B8">
        <w:rPr>
          <w:rFonts w:ascii="Arial" w:hAnsi="Arial"/>
        </w:rPr>
        <w:t>e</w:t>
      </w:r>
      <w:r w:rsidRPr="00FB66B8">
        <w:rPr>
          <w:rFonts w:ascii="Arial" w:hAnsi="Arial"/>
        </w:rPr>
        <w:t>bote und geeignete Maßnahmen zur Qualitätsverbesserung können die standortübergreifenden Leh</w:t>
      </w:r>
      <w:r w:rsidRPr="00FB66B8">
        <w:rPr>
          <w:rFonts w:ascii="Arial" w:hAnsi="Arial"/>
        </w:rPr>
        <w:t>r</w:t>
      </w:r>
      <w:r w:rsidRPr="00FB66B8">
        <w:rPr>
          <w:rFonts w:ascii="Arial" w:hAnsi="Arial"/>
        </w:rPr>
        <w:t xml:space="preserve">angebote, auch länderübergreifend, die Lehre effizienter gestalten. Weiterhin </w:t>
      </w:r>
      <w:r w:rsidR="00F94DC8">
        <w:rPr>
          <w:rFonts w:ascii="Arial" w:hAnsi="Arial"/>
        </w:rPr>
        <w:t>prüfen die Hochschulen</w:t>
      </w:r>
      <w:r w:rsidRPr="00FB66B8">
        <w:rPr>
          <w:rFonts w:ascii="Arial" w:hAnsi="Arial"/>
        </w:rPr>
        <w:t xml:space="preserve"> kontinuierlich, in welchem Maß OERs (Open Education Resources) bereitgestellt bzw. ressource</w:t>
      </w:r>
      <w:r w:rsidRPr="00FB66B8">
        <w:rPr>
          <w:rFonts w:ascii="Arial" w:hAnsi="Arial"/>
        </w:rPr>
        <w:t>n</w:t>
      </w:r>
      <w:r w:rsidRPr="00FB66B8">
        <w:rPr>
          <w:rFonts w:ascii="Arial" w:hAnsi="Arial"/>
        </w:rPr>
        <w:t>schonend und qualitätssteigernd genutzt werden können</w:t>
      </w:r>
      <w:r w:rsidR="00F94DC8">
        <w:rPr>
          <w:rFonts w:ascii="Arial" w:hAnsi="Arial"/>
        </w:rPr>
        <w:t xml:space="preserve"> und berichten darüber zum Wintersemester 2018/19</w:t>
      </w:r>
      <w:r w:rsidRPr="00FB66B8">
        <w:rPr>
          <w:rFonts w:ascii="Arial" w:hAnsi="Arial"/>
        </w:rPr>
        <w:t>.</w:t>
      </w:r>
    </w:p>
    <w:p w:rsidR="00C82A19" w:rsidRPr="00FB66B8" w:rsidRDefault="00C82A19" w:rsidP="004D385B">
      <w:pPr>
        <w:pStyle w:val="Formatvorlage2"/>
        <w:spacing w:before="120"/>
        <w:rPr>
          <w:rFonts w:ascii="Arial" w:hAnsi="Arial"/>
        </w:rPr>
      </w:pPr>
      <w:r w:rsidRPr="00FB66B8">
        <w:rPr>
          <w:rFonts w:ascii="Arial" w:hAnsi="Arial"/>
        </w:rPr>
        <w:t>(</w:t>
      </w:r>
      <w:r w:rsidR="008B73A1">
        <w:rPr>
          <w:rFonts w:ascii="Arial" w:hAnsi="Arial"/>
        </w:rPr>
        <w:t>24</w:t>
      </w:r>
      <w:r w:rsidRPr="00FB66B8">
        <w:rPr>
          <w:rFonts w:ascii="Arial" w:hAnsi="Arial"/>
        </w:rPr>
        <w:t xml:space="preserve">) Die Hochschulen beteiligen sich weiterhin </w:t>
      </w:r>
      <w:r w:rsidR="00916E33">
        <w:rPr>
          <w:rFonts w:ascii="Arial" w:hAnsi="Arial"/>
        </w:rPr>
        <w:t xml:space="preserve">aktiv </w:t>
      </w:r>
      <w:r w:rsidRPr="00FB66B8">
        <w:rPr>
          <w:rFonts w:ascii="Arial" w:hAnsi="Arial"/>
        </w:rPr>
        <w:t>an den hochschul- und länderübergreifenden Aktivitäten des Hochschulmarketings, welche insbesondere auf MINT-Fächer auszurichten sind.</w:t>
      </w:r>
    </w:p>
    <w:p w:rsidR="00F94DC8" w:rsidRPr="00504937" w:rsidRDefault="00F94DC8" w:rsidP="002252D0">
      <w:pPr>
        <w:pStyle w:val="Formatvorlage2"/>
        <w:spacing w:before="120" w:after="120"/>
        <w:rPr>
          <w:rFonts w:ascii="Arial" w:hAnsi="Arial"/>
        </w:rPr>
      </w:pPr>
      <w:r w:rsidRPr="00504937">
        <w:rPr>
          <w:rFonts w:ascii="Arial" w:hAnsi="Arial"/>
        </w:rPr>
        <w:t>(2</w:t>
      </w:r>
      <w:r w:rsidR="008B73A1">
        <w:rPr>
          <w:rFonts w:ascii="Arial" w:hAnsi="Arial"/>
        </w:rPr>
        <w:t>5</w:t>
      </w:r>
      <w:r w:rsidRPr="00504937">
        <w:rPr>
          <w:rFonts w:ascii="Arial" w:hAnsi="Arial"/>
        </w:rPr>
        <w:t>)</w:t>
      </w:r>
      <w:r w:rsidRPr="00504937">
        <w:t xml:space="preserve"> </w:t>
      </w:r>
      <w:r w:rsidRPr="00504937">
        <w:rPr>
          <w:rFonts w:ascii="Arial" w:hAnsi="Arial"/>
        </w:rPr>
        <w:t>Die Hochschulen berichten über Konzepte und Maßnahmen zur Nachhaltigkeit des Liege</w:t>
      </w:r>
      <w:r w:rsidRPr="00504937">
        <w:rPr>
          <w:rFonts w:ascii="Arial" w:hAnsi="Arial"/>
        </w:rPr>
        <w:t>n</w:t>
      </w:r>
      <w:r w:rsidR="007763DF">
        <w:rPr>
          <w:rFonts w:ascii="Arial" w:hAnsi="Arial"/>
        </w:rPr>
        <w:t>schaftsmanagements, wie z.</w:t>
      </w:r>
      <w:r w:rsidRPr="00504937">
        <w:rPr>
          <w:rFonts w:ascii="Arial" w:hAnsi="Arial"/>
        </w:rPr>
        <w:t>B. der Zertifizierung nach DIN EN ISO 14001.</w:t>
      </w:r>
      <w:r w:rsidRPr="00504937">
        <w:t xml:space="preserve"> </w:t>
      </w:r>
      <w:r w:rsidRPr="00504937">
        <w:rPr>
          <w:rFonts w:ascii="Arial" w:hAnsi="Arial"/>
        </w:rPr>
        <w:t>Darüber hinaus stellen sie transdisziplinär angelegte Studienangebote im Bereich Bildung für nachhaltige Entwicklung dar.</w:t>
      </w:r>
    </w:p>
    <w:p w:rsidR="008B60BD" w:rsidRPr="00FB66B8" w:rsidRDefault="00160085" w:rsidP="00942C59">
      <w:pPr>
        <w:pStyle w:val="Formatvorlage2"/>
        <w:spacing w:before="120" w:after="120"/>
        <w:rPr>
          <w:rFonts w:ascii="Arial" w:hAnsi="Arial"/>
        </w:rPr>
      </w:pPr>
      <w:r w:rsidRPr="00FB66B8">
        <w:rPr>
          <w:rFonts w:ascii="Arial" w:hAnsi="Arial"/>
        </w:rPr>
        <w:t>(2</w:t>
      </w:r>
      <w:r w:rsidR="008B73A1">
        <w:rPr>
          <w:rFonts w:ascii="Arial" w:hAnsi="Arial"/>
        </w:rPr>
        <w:t>6</w:t>
      </w:r>
      <w:r w:rsidR="00695DD7" w:rsidRPr="00FB66B8">
        <w:rPr>
          <w:rFonts w:ascii="Arial" w:hAnsi="Arial"/>
        </w:rPr>
        <w:t xml:space="preserve">) </w:t>
      </w:r>
      <w:r w:rsidR="008B60BD" w:rsidRPr="00FB66B8">
        <w:rPr>
          <w:rFonts w:ascii="Arial" w:hAnsi="Arial"/>
        </w:rPr>
        <w:t>Grundlage des Flächenbedarfs der Hochschulen sind weiterhin die mit dem MW und den Hoc</w:t>
      </w:r>
      <w:r w:rsidR="008B60BD" w:rsidRPr="00FB66B8">
        <w:rPr>
          <w:rFonts w:ascii="Arial" w:hAnsi="Arial"/>
        </w:rPr>
        <w:t>h</w:t>
      </w:r>
      <w:r w:rsidR="008B60BD" w:rsidRPr="00FB66B8">
        <w:rPr>
          <w:rFonts w:ascii="Arial" w:hAnsi="Arial"/>
        </w:rPr>
        <w:t xml:space="preserve">schulen im Rahmen der Hochschulstrukturplanung 2004/2005 abgestimmten Werte. </w:t>
      </w:r>
      <w:r w:rsidR="00016F8B" w:rsidRPr="00FB66B8">
        <w:rPr>
          <w:rFonts w:ascii="Arial" w:hAnsi="Arial"/>
        </w:rPr>
        <w:t xml:space="preserve">Auf dieser Grundlage </w:t>
      </w:r>
      <w:r w:rsidR="00AD17CA">
        <w:rPr>
          <w:rFonts w:ascii="Arial" w:hAnsi="Arial"/>
        </w:rPr>
        <w:t>schreiben</w:t>
      </w:r>
      <w:r w:rsidR="00016F8B" w:rsidRPr="00FB66B8">
        <w:rPr>
          <w:rFonts w:ascii="Arial" w:hAnsi="Arial"/>
        </w:rPr>
        <w:t xml:space="preserve"> die Hochschulen einen </w:t>
      </w:r>
      <w:r w:rsidR="001C02E6" w:rsidRPr="00FB66B8">
        <w:rPr>
          <w:rFonts w:ascii="Arial" w:hAnsi="Arial"/>
        </w:rPr>
        <w:t>Flächennutzungs</w:t>
      </w:r>
      <w:r w:rsidR="001C02E6">
        <w:rPr>
          <w:rFonts w:ascii="Arial" w:hAnsi="Arial"/>
        </w:rPr>
        <w:t>-</w:t>
      </w:r>
      <w:r w:rsidR="009D34EB" w:rsidRPr="00FB66B8">
        <w:rPr>
          <w:rFonts w:ascii="Arial" w:hAnsi="Arial"/>
        </w:rPr>
        <w:t>/-</w:t>
      </w:r>
      <w:r w:rsidR="00016F8B" w:rsidRPr="00FB66B8">
        <w:rPr>
          <w:rFonts w:ascii="Arial" w:hAnsi="Arial"/>
        </w:rPr>
        <w:t>entwicklungsplan</w:t>
      </w:r>
      <w:r w:rsidR="00D670DE" w:rsidRPr="00FB66B8">
        <w:rPr>
          <w:rFonts w:ascii="Arial" w:hAnsi="Arial"/>
        </w:rPr>
        <w:t xml:space="preserve"> </w:t>
      </w:r>
      <w:r w:rsidR="00721FF2">
        <w:rPr>
          <w:rFonts w:ascii="Arial" w:hAnsi="Arial"/>
        </w:rPr>
        <w:t>entsprechend</w:t>
      </w:r>
      <w:r w:rsidR="00AD17CA">
        <w:rPr>
          <w:rFonts w:ascii="Arial" w:hAnsi="Arial"/>
        </w:rPr>
        <w:t xml:space="preserve"> de</w:t>
      </w:r>
      <w:r w:rsidR="00721FF2">
        <w:rPr>
          <w:rFonts w:ascii="Arial" w:hAnsi="Arial"/>
        </w:rPr>
        <w:t>r</w:t>
      </w:r>
      <w:r w:rsidR="00AD17CA">
        <w:rPr>
          <w:rFonts w:ascii="Arial" w:hAnsi="Arial"/>
        </w:rPr>
        <w:t xml:space="preserve"> Anforderung</w:t>
      </w:r>
      <w:r w:rsidR="00721FF2">
        <w:rPr>
          <w:rFonts w:ascii="Arial" w:hAnsi="Arial"/>
        </w:rPr>
        <w:t xml:space="preserve"> aus der Vereinbarung mit dem</w:t>
      </w:r>
      <w:r w:rsidR="00AD17CA">
        <w:rPr>
          <w:rFonts w:ascii="Arial" w:hAnsi="Arial"/>
        </w:rPr>
        <w:t xml:space="preserve"> Landesbetrieb B</w:t>
      </w:r>
      <w:r w:rsidR="00721FF2">
        <w:rPr>
          <w:rFonts w:ascii="Arial" w:hAnsi="Arial"/>
        </w:rPr>
        <w:t>au- und Liegenschaftsmanagement Sachsen-Anhalt (B</w:t>
      </w:r>
      <w:r w:rsidR="00AD17CA">
        <w:rPr>
          <w:rFonts w:ascii="Arial" w:hAnsi="Arial"/>
        </w:rPr>
        <w:t>LSA</w:t>
      </w:r>
      <w:r w:rsidR="00721FF2">
        <w:rPr>
          <w:rFonts w:ascii="Arial" w:hAnsi="Arial"/>
        </w:rPr>
        <w:t>)</w:t>
      </w:r>
      <w:r w:rsidR="00AD17CA">
        <w:rPr>
          <w:rFonts w:ascii="Arial" w:hAnsi="Arial"/>
        </w:rPr>
        <w:t xml:space="preserve"> </w:t>
      </w:r>
      <w:r w:rsidR="00D670DE" w:rsidRPr="00FB66B8">
        <w:rPr>
          <w:rFonts w:ascii="Arial" w:hAnsi="Arial"/>
        </w:rPr>
        <w:t xml:space="preserve">bis zum </w:t>
      </w:r>
      <w:r w:rsidR="00AD17CA">
        <w:rPr>
          <w:rFonts w:ascii="Arial" w:hAnsi="Arial"/>
        </w:rPr>
        <w:t>Wintersemester 2016/17 fort</w:t>
      </w:r>
      <w:r w:rsidR="00016F8B" w:rsidRPr="00FB66B8">
        <w:rPr>
          <w:rFonts w:ascii="Arial" w:hAnsi="Arial"/>
        </w:rPr>
        <w:t xml:space="preserve">. Im Rahmen dieses Planes können die Hochschulen Flächen </w:t>
      </w:r>
      <w:r w:rsidR="00BA358A" w:rsidRPr="00FB66B8">
        <w:rPr>
          <w:rFonts w:ascii="Arial" w:hAnsi="Arial"/>
        </w:rPr>
        <w:t xml:space="preserve">nach Einholung des Votums des BLSA </w:t>
      </w:r>
      <w:r w:rsidR="00A33DF3" w:rsidRPr="00FB66B8">
        <w:rPr>
          <w:rFonts w:ascii="Arial" w:hAnsi="Arial"/>
        </w:rPr>
        <w:t>ohne gesonderte Zustimmung des M</w:t>
      </w:r>
      <w:r w:rsidR="00F82A5A" w:rsidRPr="00FB66B8">
        <w:rPr>
          <w:rFonts w:ascii="Arial" w:hAnsi="Arial"/>
        </w:rPr>
        <w:t>W</w:t>
      </w:r>
      <w:r w:rsidR="00A33DF3" w:rsidRPr="00FB66B8">
        <w:rPr>
          <w:rFonts w:ascii="Arial" w:hAnsi="Arial"/>
        </w:rPr>
        <w:t xml:space="preserve"> </w:t>
      </w:r>
      <w:r w:rsidR="00016F8B" w:rsidRPr="00FB66B8">
        <w:rPr>
          <w:rFonts w:ascii="Arial" w:hAnsi="Arial"/>
        </w:rPr>
        <w:t>anmieten.</w:t>
      </w:r>
      <w:r w:rsidR="00BA358A" w:rsidRPr="00FB66B8">
        <w:rPr>
          <w:rFonts w:ascii="Arial" w:hAnsi="Arial"/>
        </w:rPr>
        <w:t xml:space="preserve"> Zu beachten sind dabei die aktuellen Regelungen </w:t>
      </w:r>
      <w:r w:rsidR="00620106" w:rsidRPr="00FB66B8">
        <w:rPr>
          <w:rFonts w:ascii="Arial" w:hAnsi="Arial"/>
        </w:rPr>
        <w:t>des Landes zur Kostengrenze von de</w:t>
      </w:r>
      <w:r w:rsidR="00620106" w:rsidRPr="00FB66B8">
        <w:rPr>
          <w:rFonts w:ascii="Arial" w:hAnsi="Arial"/>
        </w:rPr>
        <w:t>r</w:t>
      </w:r>
      <w:r w:rsidR="00620106" w:rsidRPr="00FB66B8">
        <w:rPr>
          <w:rFonts w:ascii="Arial" w:hAnsi="Arial"/>
        </w:rPr>
        <w:t>zeit 125</w:t>
      </w:r>
      <w:r w:rsidR="00F82A5A" w:rsidRPr="00FB66B8">
        <w:rPr>
          <w:rFonts w:ascii="Arial" w:hAnsi="Arial"/>
        </w:rPr>
        <w:t> </w:t>
      </w:r>
      <w:r w:rsidR="00620106" w:rsidRPr="00FB66B8">
        <w:rPr>
          <w:rFonts w:ascii="Arial" w:hAnsi="Arial"/>
        </w:rPr>
        <w:t>T€/Jahr und der entsprechenden Beteiligung des zuständigen Ministeriums bei Überschre</w:t>
      </w:r>
      <w:r w:rsidR="00620106" w:rsidRPr="00FB66B8">
        <w:rPr>
          <w:rFonts w:ascii="Arial" w:hAnsi="Arial"/>
        </w:rPr>
        <w:t>i</w:t>
      </w:r>
      <w:r w:rsidR="00620106" w:rsidRPr="00FB66B8">
        <w:rPr>
          <w:rFonts w:ascii="Arial" w:hAnsi="Arial"/>
        </w:rPr>
        <w:t>tung dieser Grenze.</w:t>
      </w:r>
      <w:r w:rsidR="00016F8B" w:rsidRPr="00FB66B8">
        <w:rPr>
          <w:rFonts w:ascii="Arial" w:hAnsi="Arial"/>
        </w:rPr>
        <w:t xml:space="preserve"> </w:t>
      </w:r>
      <w:r w:rsidR="008B60BD" w:rsidRPr="00FB66B8">
        <w:rPr>
          <w:rFonts w:ascii="Arial" w:hAnsi="Arial"/>
        </w:rPr>
        <w:t xml:space="preserve">Die Hochschulen </w:t>
      </w:r>
      <w:r w:rsidR="00715337" w:rsidRPr="00FB66B8">
        <w:rPr>
          <w:rFonts w:ascii="Arial" w:hAnsi="Arial"/>
        </w:rPr>
        <w:t xml:space="preserve">melden </w:t>
      </w:r>
      <w:r w:rsidR="008B60BD" w:rsidRPr="00FB66B8">
        <w:rPr>
          <w:rFonts w:ascii="Arial" w:hAnsi="Arial"/>
        </w:rPr>
        <w:t xml:space="preserve">jährlich </w:t>
      </w:r>
      <w:r w:rsidR="00715337" w:rsidRPr="00FB66B8">
        <w:rPr>
          <w:rFonts w:ascii="Arial" w:hAnsi="Arial"/>
        </w:rPr>
        <w:t xml:space="preserve">im Rahmen der Berichterstattung </w:t>
      </w:r>
      <w:r w:rsidR="008B60BD" w:rsidRPr="00FB66B8">
        <w:rPr>
          <w:rFonts w:ascii="Arial" w:hAnsi="Arial"/>
        </w:rPr>
        <w:t>den aktuellen Stand der Flächennutzung.</w:t>
      </w:r>
    </w:p>
    <w:p w:rsidR="00025A02" w:rsidRDefault="00245150" w:rsidP="006E6B1E">
      <w:pPr>
        <w:pStyle w:val="Formatvorlage2"/>
        <w:spacing w:before="120" w:after="120"/>
        <w:rPr>
          <w:rFonts w:ascii="Arial" w:hAnsi="Arial"/>
        </w:rPr>
      </w:pPr>
      <w:r w:rsidRPr="008B73A1">
        <w:rPr>
          <w:rFonts w:ascii="Arial" w:hAnsi="Arial"/>
        </w:rPr>
        <w:t>(2</w:t>
      </w:r>
      <w:r w:rsidR="008B73A1">
        <w:rPr>
          <w:rFonts w:ascii="Arial" w:hAnsi="Arial"/>
        </w:rPr>
        <w:t>7</w:t>
      </w:r>
      <w:r w:rsidRPr="008B73A1">
        <w:rPr>
          <w:rFonts w:ascii="Arial" w:hAnsi="Arial"/>
        </w:rPr>
        <w:t xml:space="preserve">) </w:t>
      </w:r>
      <w:r w:rsidR="00025A02" w:rsidRPr="008B73A1">
        <w:rPr>
          <w:rFonts w:ascii="Arial" w:hAnsi="Arial"/>
        </w:rPr>
        <w:t>Die Hochschulen informieren Studierende und Öffentlichkeit</w:t>
      </w:r>
      <w:r w:rsidR="008B73A1" w:rsidRPr="008B73A1">
        <w:rPr>
          <w:rFonts w:ascii="Arial" w:hAnsi="Arial"/>
        </w:rPr>
        <w:t xml:space="preserve"> </w:t>
      </w:r>
      <w:r w:rsidR="00025A02" w:rsidRPr="008B73A1">
        <w:rPr>
          <w:rFonts w:ascii="Arial" w:hAnsi="Arial"/>
        </w:rPr>
        <w:t>über die Entwicklung der vorgenan</w:t>
      </w:r>
      <w:r w:rsidR="00025A02" w:rsidRPr="008B73A1">
        <w:rPr>
          <w:rFonts w:ascii="Arial" w:hAnsi="Arial"/>
        </w:rPr>
        <w:t>n</w:t>
      </w:r>
      <w:r w:rsidR="00025A02" w:rsidRPr="008B73A1">
        <w:rPr>
          <w:rFonts w:ascii="Arial" w:hAnsi="Arial"/>
        </w:rPr>
        <w:t xml:space="preserve">ten Bereiche mit Kennziffern und Hinweisen auf die Standards, die diese Leistungen dokumentieren. Sie prüfen gemeinsam und mit dem </w:t>
      </w:r>
      <w:r w:rsidR="00630A83">
        <w:rPr>
          <w:rFonts w:ascii="Arial" w:hAnsi="Arial"/>
        </w:rPr>
        <w:t>MW</w:t>
      </w:r>
      <w:r w:rsidR="00025A02" w:rsidRPr="008B73A1">
        <w:rPr>
          <w:rFonts w:ascii="Arial" w:hAnsi="Arial"/>
        </w:rPr>
        <w:t>, ob und in welcher Weise (die Aggregation von) ECTS-Punkte</w:t>
      </w:r>
      <w:r w:rsidR="004D385B">
        <w:rPr>
          <w:rFonts w:ascii="Arial" w:hAnsi="Arial"/>
        </w:rPr>
        <w:t>(n)</w:t>
      </w:r>
      <w:r w:rsidR="00025A02" w:rsidRPr="008B73A1">
        <w:rPr>
          <w:rFonts w:ascii="Arial" w:hAnsi="Arial"/>
        </w:rPr>
        <w:t xml:space="preserve"> als Instrument der internen Steuerung und zur transparenten Darlegung ihrer Lehrleistu</w:t>
      </w:r>
      <w:r w:rsidR="00025A02" w:rsidRPr="008B73A1">
        <w:rPr>
          <w:rFonts w:ascii="Arial" w:hAnsi="Arial"/>
        </w:rPr>
        <w:t>n</w:t>
      </w:r>
      <w:r w:rsidR="00630A83">
        <w:rPr>
          <w:rFonts w:ascii="Arial" w:hAnsi="Arial"/>
        </w:rPr>
        <w:t>gen geeignet ist</w:t>
      </w:r>
      <w:r w:rsidR="00025A02" w:rsidRPr="008B73A1">
        <w:rPr>
          <w:rFonts w:ascii="Arial" w:hAnsi="Arial"/>
        </w:rPr>
        <w:t xml:space="preserve"> und setzen positive Ergebnisse dieser Prüfung um. Die Aussagekraft entsprechender Berichte wird zum Wintersemester 2018/19 überprüft.</w:t>
      </w:r>
    </w:p>
    <w:p w:rsidR="000B249B" w:rsidRPr="008B73A1" w:rsidRDefault="000B249B" w:rsidP="006E6B1E">
      <w:pPr>
        <w:pStyle w:val="Formatvorlage2"/>
        <w:spacing w:before="120" w:after="120"/>
        <w:rPr>
          <w:rFonts w:ascii="Arial" w:hAnsi="Arial"/>
        </w:rPr>
      </w:pPr>
      <w:commentRangeStart w:id="4"/>
      <w:r>
        <w:rPr>
          <w:rFonts w:ascii="Arial" w:hAnsi="Arial"/>
        </w:rPr>
        <w:t>(28) Bei der Entwicklung von Studienangeboten berücksichtigen die Hochschulen u.a. zur Unterstü</w:t>
      </w:r>
      <w:r>
        <w:rPr>
          <w:rFonts w:ascii="Arial" w:hAnsi="Arial"/>
        </w:rPr>
        <w:t>t</w:t>
      </w:r>
      <w:r>
        <w:rPr>
          <w:rFonts w:ascii="Arial" w:hAnsi="Arial"/>
        </w:rPr>
        <w:t>zung der Verbesserung von Vereinbarkeit von Studium, Beruf, Familie ihre Angebote die Studierba</w:t>
      </w:r>
      <w:r>
        <w:rPr>
          <w:rFonts w:ascii="Arial" w:hAnsi="Arial"/>
        </w:rPr>
        <w:t>r</w:t>
      </w:r>
      <w:r>
        <w:rPr>
          <w:rFonts w:ascii="Arial" w:hAnsi="Arial"/>
        </w:rPr>
        <w:t>keit als Teilzeitstudium.</w:t>
      </w:r>
      <w:commentRangeEnd w:id="4"/>
      <w:r>
        <w:rPr>
          <w:rStyle w:val="Kommentarzeichen"/>
          <w:rFonts w:ascii="Arial" w:eastAsia="Calibri" w:hAnsi="Arial"/>
        </w:rPr>
        <w:commentReference w:id="4"/>
      </w:r>
    </w:p>
    <w:p w:rsidR="00604FEA" w:rsidRDefault="005121AB" w:rsidP="00312A91">
      <w:pPr>
        <w:pStyle w:val="berschrift3"/>
        <w:spacing w:before="360"/>
        <w:rPr>
          <w:b w:val="0"/>
          <w:sz w:val="22"/>
          <w:szCs w:val="22"/>
        </w:rPr>
      </w:pPr>
      <w:r w:rsidRPr="00FB66B8">
        <w:rPr>
          <w:b w:val="0"/>
          <w:sz w:val="22"/>
          <w:szCs w:val="22"/>
        </w:rPr>
        <w:t>A.</w:t>
      </w:r>
      <w:r w:rsidR="00EE65B8" w:rsidRPr="00FB66B8">
        <w:rPr>
          <w:b w:val="0"/>
          <w:sz w:val="22"/>
          <w:szCs w:val="22"/>
        </w:rPr>
        <w:t>2</w:t>
      </w:r>
      <w:r w:rsidRPr="00FB66B8">
        <w:rPr>
          <w:b w:val="0"/>
          <w:sz w:val="22"/>
          <w:szCs w:val="22"/>
        </w:rPr>
        <w:tab/>
      </w:r>
      <w:r w:rsidR="00B850D2">
        <w:rPr>
          <w:b w:val="0"/>
          <w:sz w:val="22"/>
          <w:szCs w:val="22"/>
        </w:rPr>
        <w:t>Aufgabenbezogene Vereinbarungen d</w:t>
      </w:r>
      <w:r w:rsidR="002813D3" w:rsidRPr="00FB66B8">
        <w:rPr>
          <w:b w:val="0"/>
          <w:sz w:val="22"/>
          <w:szCs w:val="22"/>
        </w:rPr>
        <w:t>er Hochschule</w:t>
      </w:r>
    </w:p>
    <w:p w:rsidR="000B249B" w:rsidRPr="00B830D2" w:rsidRDefault="002006DA" w:rsidP="002006DA">
      <w:pPr>
        <w:spacing w:before="120" w:after="120"/>
        <w:jc w:val="both"/>
        <w:rPr>
          <w:rFonts w:eastAsia="Times New Roman"/>
        </w:rPr>
      </w:pPr>
      <w:r>
        <w:rPr>
          <w:rFonts w:eastAsia="Times New Roman"/>
        </w:rPr>
        <w:t>(1</w:t>
      </w:r>
      <w:r w:rsidRPr="00B830D2">
        <w:rPr>
          <w:rFonts w:eastAsia="Times New Roman"/>
        </w:rPr>
        <w:t xml:space="preserve">) Die </w:t>
      </w:r>
      <w:r>
        <w:rPr>
          <w:rFonts w:eastAsia="Times New Roman"/>
        </w:rPr>
        <w:t xml:space="preserve">Universität </w:t>
      </w:r>
      <w:r w:rsidRPr="00B830D2">
        <w:rPr>
          <w:rFonts w:eastAsia="Times New Roman"/>
        </w:rPr>
        <w:t xml:space="preserve">legt bis zum </w:t>
      </w:r>
      <w:r>
        <w:rPr>
          <w:rFonts w:eastAsia="Times New Roman"/>
        </w:rPr>
        <w:t>April 2015</w:t>
      </w:r>
      <w:r w:rsidRPr="00B830D2">
        <w:rPr>
          <w:rFonts w:eastAsia="Times New Roman"/>
        </w:rPr>
        <w:t xml:space="preserve"> neben den im Hochschulentwicklungsplan genannten Stru</w:t>
      </w:r>
      <w:r w:rsidRPr="00B830D2">
        <w:rPr>
          <w:rFonts w:eastAsia="Times New Roman"/>
        </w:rPr>
        <w:t>k</w:t>
      </w:r>
      <w:r w:rsidRPr="00B830D2">
        <w:rPr>
          <w:rFonts w:eastAsia="Times New Roman"/>
        </w:rPr>
        <w:t xml:space="preserve">turmaßnahmen ein Konzept zur finanziellen Umsetzung der Strukturplanung gemäß </w:t>
      </w:r>
      <w:r>
        <w:rPr>
          <w:rFonts w:eastAsia="Times New Roman"/>
        </w:rPr>
        <w:t>der zu erziele</w:t>
      </w:r>
      <w:r>
        <w:rPr>
          <w:rFonts w:eastAsia="Times New Roman"/>
        </w:rPr>
        <w:t>n</w:t>
      </w:r>
      <w:r>
        <w:rPr>
          <w:rFonts w:eastAsia="Times New Roman"/>
        </w:rPr>
        <w:t xml:space="preserve">den </w:t>
      </w:r>
      <w:r w:rsidRPr="00B830D2">
        <w:rPr>
          <w:rFonts w:eastAsia="Times New Roman"/>
        </w:rPr>
        <w:t xml:space="preserve">Budgetzielgrößen </w:t>
      </w:r>
      <w:r>
        <w:rPr>
          <w:rFonts w:eastAsia="Times New Roman"/>
        </w:rPr>
        <w:t xml:space="preserve">mit dem Ziel </w:t>
      </w:r>
      <w:r w:rsidRPr="00B830D2">
        <w:rPr>
          <w:rFonts w:eastAsia="Times New Roman"/>
        </w:rPr>
        <w:t>vor</w:t>
      </w:r>
      <w:r>
        <w:rPr>
          <w:rFonts w:eastAsia="Times New Roman"/>
        </w:rPr>
        <w:t>, dass es zum Wintersemester 2015/16 wirken kann</w:t>
      </w:r>
      <w:r w:rsidRPr="00B830D2">
        <w:rPr>
          <w:rFonts w:eastAsia="Times New Roman"/>
        </w:rPr>
        <w:t>.</w:t>
      </w:r>
      <w:r w:rsidRPr="009A79F2">
        <w:rPr>
          <w:rFonts w:eastAsia="Times New Roman"/>
        </w:rPr>
        <w:t xml:space="preserve"> </w:t>
      </w:r>
      <w:r>
        <w:rPr>
          <w:rFonts w:eastAsia="Times New Roman"/>
        </w:rPr>
        <w:t xml:space="preserve">Die Grundordnung der Universität wird auf Grundlage der Strukturentscheidungen bis Ende </w:t>
      </w:r>
      <w:r w:rsidR="00611212">
        <w:rPr>
          <w:rFonts w:eastAsia="Times New Roman"/>
        </w:rPr>
        <w:t xml:space="preserve">2016 </w:t>
      </w:r>
      <w:r>
        <w:rPr>
          <w:rFonts w:eastAsia="Times New Roman"/>
        </w:rPr>
        <w:t>ang</w:t>
      </w:r>
      <w:r>
        <w:rPr>
          <w:rFonts w:eastAsia="Times New Roman"/>
        </w:rPr>
        <w:t>e</w:t>
      </w:r>
      <w:r>
        <w:rPr>
          <w:rFonts w:eastAsia="Times New Roman"/>
        </w:rPr>
        <w:t xml:space="preserve">passt. </w:t>
      </w:r>
      <w:r w:rsidRPr="000B249B">
        <w:rPr>
          <w:rFonts w:eastAsia="Times New Roman"/>
          <w:strike/>
          <w:color w:val="FF0000"/>
        </w:rPr>
        <w:t>Die</w:t>
      </w:r>
      <w:r w:rsidR="000B249B">
        <w:rPr>
          <w:rFonts w:eastAsia="Times New Roman"/>
          <w:color w:val="FF0000"/>
        </w:rPr>
        <w:t xml:space="preserve"> Mit Anregungen aus den</w:t>
      </w:r>
      <w:r>
        <w:rPr>
          <w:rFonts w:eastAsia="Times New Roman"/>
        </w:rPr>
        <w:t xml:space="preserve"> Kerndisziplinen </w:t>
      </w:r>
      <w:r w:rsidRPr="000B249B">
        <w:rPr>
          <w:rFonts w:eastAsia="Times New Roman"/>
          <w:strike/>
          <w:color w:val="FF0000"/>
        </w:rPr>
        <w:t>müssen in diesem Zusammenhang</w:t>
      </w:r>
      <w:r w:rsidRPr="000B249B">
        <w:rPr>
          <w:rFonts w:eastAsia="Times New Roman"/>
          <w:color w:val="FF0000"/>
        </w:rPr>
        <w:t xml:space="preserve"> </w:t>
      </w:r>
      <w:r>
        <w:rPr>
          <w:rFonts w:eastAsia="Times New Roman"/>
        </w:rPr>
        <w:t>definier</w:t>
      </w:r>
      <w:r w:rsidR="000B249B">
        <w:rPr>
          <w:rFonts w:eastAsia="Times New Roman"/>
          <w:color w:val="FF0000"/>
        </w:rPr>
        <w:t>t</w:t>
      </w:r>
      <w:r w:rsidRPr="000B249B">
        <w:rPr>
          <w:rFonts w:eastAsia="Times New Roman"/>
          <w:strike/>
          <w:color w:val="FF0000"/>
        </w:rPr>
        <w:t>en</w:t>
      </w:r>
      <w:r w:rsidR="000B249B">
        <w:rPr>
          <w:rFonts w:eastAsia="Times New Roman"/>
          <w:color w:val="FF0000"/>
        </w:rPr>
        <w:t xml:space="preserve"> die humanwissenschaftliche Fakultät</w:t>
      </w:r>
      <w:r>
        <w:rPr>
          <w:rFonts w:eastAsia="Times New Roman"/>
        </w:rPr>
        <w:t>, welche geisteswissenschaftlichen Bereiche</w:t>
      </w:r>
      <w:r w:rsidR="000B249B">
        <w:rPr>
          <w:rFonts w:eastAsia="Times New Roman"/>
        </w:rPr>
        <w:t xml:space="preserve"> </w:t>
      </w:r>
      <w:r w:rsidR="000B249B">
        <w:rPr>
          <w:rFonts w:eastAsia="Times New Roman"/>
          <w:color w:val="FF0000"/>
        </w:rPr>
        <w:t xml:space="preserve">grundlegend </w:t>
      </w:r>
      <w:r w:rsidRPr="000B249B">
        <w:rPr>
          <w:rFonts w:eastAsia="Times New Roman"/>
          <w:strike/>
          <w:color w:val="FF0000"/>
        </w:rPr>
        <w:t>benötigt werden</w:t>
      </w:r>
      <w:r>
        <w:rPr>
          <w:rFonts w:eastAsia="Times New Roman"/>
        </w:rPr>
        <w:t xml:space="preserve">. Dabei ist die </w:t>
      </w:r>
      <w:commentRangeStart w:id="5"/>
      <w:r w:rsidRPr="00D71516">
        <w:rPr>
          <w:rFonts w:eastAsia="Times New Roman"/>
        </w:rPr>
        <w:t>Einbi</w:t>
      </w:r>
      <w:r>
        <w:rPr>
          <w:rFonts w:eastAsia="Times New Roman"/>
        </w:rPr>
        <w:t xml:space="preserve">ndung der humanwissenschaftlichen Fakultät </w:t>
      </w:r>
      <w:commentRangeEnd w:id="5"/>
      <w:r w:rsidR="000B249B">
        <w:rPr>
          <w:rStyle w:val="Kommentarzeichen"/>
        </w:rPr>
        <w:commentReference w:id="5"/>
      </w:r>
      <w:r>
        <w:rPr>
          <w:rFonts w:eastAsia="Times New Roman"/>
        </w:rPr>
        <w:t xml:space="preserve">in die profilbestimmenden </w:t>
      </w:r>
      <w:r w:rsidR="00AD5A64">
        <w:rPr>
          <w:rFonts w:eastAsia="Times New Roman"/>
        </w:rPr>
        <w:t xml:space="preserve">Schwerpunkte der OVGU </w:t>
      </w:r>
      <w:r>
        <w:rPr>
          <w:rFonts w:eastAsia="Times New Roman"/>
        </w:rPr>
        <w:t>zu berücksichtigen.</w:t>
      </w:r>
      <w:r w:rsidR="000B249B">
        <w:rPr>
          <w:rFonts w:eastAsia="Times New Roman"/>
        </w:rPr>
        <w:t xml:space="preserve"> </w:t>
      </w:r>
      <w:commentRangeStart w:id="6"/>
      <w:r w:rsidR="000B249B">
        <w:rPr>
          <w:rFonts w:eastAsia="Times New Roman"/>
        </w:rPr>
        <w:t>Die Hochschule erwartet, dass mit Unterstützung der Landesregierung personalwirtschaftliche Instrumente entwickelt werden, um erforderliche Strukturä</w:t>
      </w:r>
      <w:r w:rsidR="000B249B">
        <w:rPr>
          <w:rFonts w:eastAsia="Times New Roman"/>
        </w:rPr>
        <w:t>n</w:t>
      </w:r>
      <w:r w:rsidR="000B249B">
        <w:rPr>
          <w:rFonts w:eastAsia="Times New Roman"/>
        </w:rPr>
        <w:t>derungen umsetzen zu können. Das Ministerium entwickelt dazu in Abstimmung mit der Hochschule ein Anreizsystem, um mittelfristig wirksame personalwirtschaftliche Maßnahmen befristet finanziell zu unterstützen.</w:t>
      </w:r>
      <w:commentRangeEnd w:id="6"/>
      <w:r w:rsidR="000B249B">
        <w:rPr>
          <w:rStyle w:val="Kommentarzeichen"/>
        </w:rPr>
        <w:commentReference w:id="6"/>
      </w:r>
    </w:p>
    <w:p w:rsidR="002006DA" w:rsidRDefault="002006DA" w:rsidP="002006DA">
      <w:pPr>
        <w:spacing w:before="120" w:after="120"/>
        <w:jc w:val="both"/>
        <w:rPr>
          <w:rFonts w:eastAsia="Times New Roman"/>
        </w:rPr>
      </w:pPr>
      <w:r>
        <w:rPr>
          <w:rFonts w:eastAsia="Times New Roman"/>
        </w:rPr>
        <w:t>(2</w:t>
      </w:r>
      <w:r w:rsidRPr="001761CC">
        <w:rPr>
          <w:rFonts w:eastAsia="Times New Roman"/>
        </w:rPr>
        <w:t xml:space="preserve">) </w:t>
      </w:r>
      <w:r w:rsidRPr="008F26D7">
        <w:rPr>
          <w:rFonts w:eastAsia="Times New Roman"/>
        </w:rPr>
        <w:t>In der Kooperation zwischen den Hochschulen und zwischen Hochschulen und den außerunivers</w:t>
      </w:r>
      <w:r w:rsidRPr="008F26D7">
        <w:rPr>
          <w:rFonts w:eastAsia="Times New Roman"/>
        </w:rPr>
        <w:t>i</w:t>
      </w:r>
      <w:r w:rsidRPr="008F26D7">
        <w:rPr>
          <w:rFonts w:eastAsia="Times New Roman"/>
        </w:rPr>
        <w:t>tären Forschungseinrichtungen werden gute Entwicklungschancen für die Schärfung des Forschung</w:t>
      </w:r>
      <w:r w:rsidRPr="008F26D7">
        <w:rPr>
          <w:rFonts w:eastAsia="Times New Roman"/>
        </w:rPr>
        <w:t>s</w:t>
      </w:r>
      <w:r w:rsidRPr="008F26D7">
        <w:rPr>
          <w:rFonts w:eastAsia="Times New Roman"/>
        </w:rPr>
        <w:t xml:space="preserve">profils gesehen. Vor allem institutionalisierte Kooperationsplattformen bieten das Potential für eine </w:t>
      </w:r>
      <w:r w:rsidRPr="008F26D7">
        <w:rPr>
          <w:rFonts w:eastAsia="Times New Roman"/>
        </w:rPr>
        <w:lastRenderedPageBreak/>
        <w:t>intensivere Vernetzung, die zudem einen geeigneten Weg darstellt, die für eine erfolgreiche Fo</w:t>
      </w:r>
      <w:r w:rsidRPr="008F26D7">
        <w:rPr>
          <w:rFonts w:eastAsia="Times New Roman"/>
        </w:rPr>
        <w:t>r</w:t>
      </w:r>
      <w:r w:rsidRPr="008F26D7">
        <w:rPr>
          <w:rFonts w:eastAsia="Times New Roman"/>
        </w:rPr>
        <w:t xml:space="preserve">schung erforderlich kritische Masse zu erreichen. Die </w:t>
      </w:r>
      <w:r>
        <w:rPr>
          <w:rFonts w:eastAsia="Times New Roman"/>
        </w:rPr>
        <w:t xml:space="preserve">Universität </w:t>
      </w:r>
      <w:r w:rsidRPr="008F26D7">
        <w:rPr>
          <w:rFonts w:eastAsia="Times New Roman"/>
        </w:rPr>
        <w:t xml:space="preserve">entwickelt in Kooperation </w:t>
      </w:r>
      <w:r>
        <w:rPr>
          <w:rFonts w:eastAsia="Times New Roman"/>
        </w:rPr>
        <w:t xml:space="preserve">mit den </w:t>
      </w:r>
      <w:r w:rsidRPr="008F26D7">
        <w:rPr>
          <w:rFonts w:eastAsia="Times New Roman"/>
        </w:rPr>
        <w:t>anderen beteiligten Hochschulen institutionelle Kooperationsplattform</w:t>
      </w:r>
      <w:r>
        <w:rPr>
          <w:rFonts w:eastAsia="Times New Roman"/>
        </w:rPr>
        <w:t>en</w:t>
      </w:r>
      <w:r w:rsidRPr="008F26D7">
        <w:rPr>
          <w:rFonts w:eastAsia="Times New Roman"/>
        </w:rPr>
        <w:t xml:space="preserve"> für </w:t>
      </w:r>
      <w:commentRangeStart w:id="7"/>
      <w:r w:rsidRPr="001B5FE2">
        <w:rPr>
          <w:rFonts w:eastAsia="Times New Roman"/>
        </w:rPr>
        <w:t>Ingenieur</w:t>
      </w:r>
      <w:r>
        <w:rPr>
          <w:rFonts w:eastAsia="Times New Roman"/>
        </w:rPr>
        <w:t>- und Wir</w:t>
      </w:r>
      <w:r>
        <w:rPr>
          <w:rFonts w:eastAsia="Times New Roman"/>
        </w:rPr>
        <w:t>t</w:t>
      </w:r>
      <w:r>
        <w:rPr>
          <w:rFonts w:eastAsia="Times New Roman"/>
        </w:rPr>
        <w:t>schafts</w:t>
      </w:r>
      <w:r w:rsidRPr="001B5FE2">
        <w:rPr>
          <w:rFonts w:eastAsia="Times New Roman"/>
        </w:rPr>
        <w:t>wissenschaften</w:t>
      </w:r>
      <w:r>
        <w:rPr>
          <w:rFonts w:eastAsia="Times New Roman"/>
        </w:rPr>
        <w:t xml:space="preserve"> sowie Lehrerbildung</w:t>
      </w:r>
      <w:commentRangeEnd w:id="7"/>
      <w:r w:rsidR="005835E5">
        <w:rPr>
          <w:rStyle w:val="Kommentarzeichen"/>
        </w:rPr>
        <w:commentReference w:id="7"/>
      </w:r>
      <w:r>
        <w:rPr>
          <w:rFonts w:eastAsia="Times New Roman"/>
        </w:rPr>
        <w:t>, um die verfügbaren Ressourcen strategisch auf Z</w:t>
      </w:r>
      <w:r>
        <w:rPr>
          <w:rFonts w:eastAsia="Times New Roman"/>
        </w:rPr>
        <w:t>u</w:t>
      </w:r>
      <w:r>
        <w:rPr>
          <w:rFonts w:eastAsia="Times New Roman"/>
        </w:rPr>
        <w:t>kunftspotenziale auszurichten</w:t>
      </w:r>
      <w:r w:rsidRPr="001B5FE2">
        <w:rPr>
          <w:rFonts w:eastAsia="Times New Roman"/>
        </w:rPr>
        <w:t>.</w:t>
      </w:r>
      <w:r>
        <w:rPr>
          <w:rFonts w:eastAsia="Times New Roman"/>
        </w:rPr>
        <w:t xml:space="preserve"> </w:t>
      </w:r>
      <w:r w:rsidRPr="00B238C9">
        <w:rPr>
          <w:rFonts w:eastAsia="Times New Roman"/>
        </w:rPr>
        <w:t>Bei der Entwicklung der strategischen Zielstellung sind die betreffe</w:t>
      </w:r>
      <w:r w:rsidRPr="00B238C9">
        <w:rPr>
          <w:rFonts w:eastAsia="Times New Roman"/>
        </w:rPr>
        <w:t>n</w:t>
      </w:r>
      <w:r w:rsidRPr="00B238C9">
        <w:rPr>
          <w:rFonts w:eastAsia="Times New Roman"/>
        </w:rPr>
        <w:t xml:space="preserve">den außeruniversitären Forschungseinrichtungen einzubeziehen. </w:t>
      </w:r>
      <w:r>
        <w:rPr>
          <w:rFonts w:eastAsia="Times New Roman"/>
        </w:rPr>
        <w:t xml:space="preserve">Für die ingenieurwissenschaftliche Kooperationsplattform übernimmt die </w:t>
      </w:r>
      <w:r w:rsidR="00AD5A64">
        <w:rPr>
          <w:rFonts w:eastAsia="Times New Roman"/>
        </w:rPr>
        <w:t xml:space="preserve">OVGU </w:t>
      </w:r>
      <w:r>
        <w:rPr>
          <w:rFonts w:eastAsia="Times New Roman"/>
        </w:rPr>
        <w:t>die Federführung. Die Kooperationsplattformen sollen auch dazu dienen, die kooperativen Promotionen zu fördern.</w:t>
      </w:r>
    </w:p>
    <w:p w:rsidR="002006DA" w:rsidRDefault="002006DA" w:rsidP="002006DA">
      <w:pPr>
        <w:spacing w:before="120" w:after="120"/>
        <w:jc w:val="both"/>
        <w:rPr>
          <w:rFonts w:eastAsia="Times New Roman"/>
        </w:rPr>
      </w:pPr>
      <w:r>
        <w:rPr>
          <w:rFonts w:eastAsia="Times New Roman"/>
        </w:rPr>
        <w:t>(3) Die Entwicklung strukturierter strategischer Partnerschaften erhöht die nationale und internationale Sichtbarkeit der Universität. Die Universität greift diese Anregung auf und entwickelt zeitnah ein Ko</w:t>
      </w:r>
      <w:r>
        <w:rPr>
          <w:rFonts w:eastAsia="Times New Roman"/>
        </w:rPr>
        <w:t>n</w:t>
      </w:r>
      <w:r>
        <w:rPr>
          <w:rFonts w:eastAsia="Times New Roman"/>
        </w:rPr>
        <w:t>zept zur Bildung bzw. zum Anschluss an einen Verbund mit der Universität entsprechenden Partnern.</w:t>
      </w:r>
    </w:p>
    <w:p w:rsidR="002006DA" w:rsidRDefault="002006DA" w:rsidP="002006DA">
      <w:pPr>
        <w:spacing w:before="120" w:after="120"/>
        <w:jc w:val="both"/>
        <w:rPr>
          <w:rFonts w:eastAsia="Times New Roman"/>
        </w:rPr>
      </w:pPr>
      <w:r>
        <w:rPr>
          <w:rFonts w:eastAsia="Times New Roman"/>
        </w:rPr>
        <w:t>(4) Die Schwerpunkte Medizin/Naturwissenschaften, Ingenieurwissenschaften und Wirtschaftswisse</w:t>
      </w:r>
      <w:r>
        <w:rPr>
          <w:rFonts w:eastAsia="Times New Roman"/>
        </w:rPr>
        <w:t>n</w:t>
      </w:r>
      <w:r>
        <w:rPr>
          <w:rFonts w:eastAsia="Times New Roman"/>
        </w:rPr>
        <w:t xml:space="preserve">schaften der Universität prägen konzeptionell untermauerte Forschungsschwerpunkte aus, für die im Zielvereinbarungszeitraum Drittmittelkonzepte unter Beachtung der verschiedenen </w:t>
      </w:r>
      <w:commentRangeStart w:id="8"/>
      <w:r>
        <w:rPr>
          <w:rFonts w:eastAsia="Times New Roman"/>
        </w:rPr>
        <w:t>Förderlinien</w:t>
      </w:r>
      <w:commentRangeEnd w:id="8"/>
      <w:r w:rsidR="005835E5">
        <w:rPr>
          <w:rStyle w:val="Kommentarzeichen"/>
        </w:rPr>
        <w:commentReference w:id="8"/>
      </w:r>
      <w:r>
        <w:rPr>
          <w:rFonts w:eastAsia="Times New Roman"/>
        </w:rPr>
        <w:t xml:space="preserve"> </w:t>
      </w:r>
      <w:r w:rsidR="00611212">
        <w:rPr>
          <w:rFonts w:eastAsia="Times New Roman"/>
        </w:rPr>
        <w:t>kont</w:t>
      </w:r>
      <w:r w:rsidR="00611212">
        <w:rPr>
          <w:rFonts w:eastAsia="Times New Roman"/>
        </w:rPr>
        <w:t>i</w:t>
      </w:r>
      <w:r w:rsidR="00611212">
        <w:rPr>
          <w:rFonts w:eastAsia="Times New Roman"/>
        </w:rPr>
        <w:t xml:space="preserve">nuierlich weiter </w:t>
      </w:r>
      <w:r>
        <w:rPr>
          <w:rFonts w:eastAsia="Times New Roman"/>
        </w:rPr>
        <w:t>entwickelt werden. Die Universität legt diese dem MW bis zum Wintersemester 2015/16 vor.</w:t>
      </w:r>
    </w:p>
    <w:p w:rsidR="002006DA" w:rsidRDefault="002006DA" w:rsidP="002006DA">
      <w:pPr>
        <w:spacing w:before="120" w:after="120"/>
        <w:jc w:val="both"/>
        <w:rPr>
          <w:rFonts w:eastAsia="Times New Roman"/>
        </w:rPr>
      </w:pPr>
      <w:r>
        <w:rPr>
          <w:rFonts w:eastAsia="Times New Roman"/>
        </w:rPr>
        <w:t xml:space="preserve">(5) Es wird erwartet, dass die Hochschule ihre Potentiale in der Drittmitteleinwerbung im gesamten Portfolio ausschöpft und die durchschnittliche Drittmitteleinwerbung </w:t>
      </w:r>
      <w:r w:rsidR="00611212">
        <w:rPr>
          <w:rFonts w:eastAsia="Times New Roman"/>
        </w:rPr>
        <w:t xml:space="preserve">fachlich </w:t>
      </w:r>
      <w:commentRangeStart w:id="9"/>
      <w:r>
        <w:rPr>
          <w:rFonts w:eastAsia="Times New Roman"/>
        </w:rPr>
        <w:t>ähnlich strukturierter Ei</w:t>
      </w:r>
      <w:r>
        <w:rPr>
          <w:rFonts w:eastAsia="Times New Roman"/>
        </w:rPr>
        <w:t>n</w:t>
      </w:r>
      <w:r>
        <w:rPr>
          <w:rFonts w:eastAsia="Times New Roman"/>
        </w:rPr>
        <w:t>richtungen erreicht.</w:t>
      </w:r>
      <w:commentRangeEnd w:id="9"/>
      <w:r w:rsidR="005835E5">
        <w:rPr>
          <w:rStyle w:val="Kommentarzeichen"/>
        </w:rPr>
        <w:commentReference w:id="9"/>
      </w:r>
    </w:p>
    <w:p w:rsidR="002006DA" w:rsidRDefault="002006DA" w:rsidP="002006DA">
      <w:pPr>
        <w:spacing w:before="120" w:after="120"/>
        <w:jc w:val="both"/>
        <w:rPr>
          <w:rFonts w:eastAsia="Times New Roman"/>
        </w:rPr>
      </w:pPr>
      <w:r>
        <w:rPr>
          <w:rFonts w:eastAsia="Times New Roman"/>
        </w:rPr>
        <w:t>(6)</w:t>
      </w:r>
      <w:r w:rsidRPr="001761CC">
        <w:rPr>
          <w:rFonts w:eastAsia="Times New Roman"/>
        </w:rPr>
        <w:t xml:space="preserve"> Das lehrebezogene Profil der </w:t>
      </w:r>
      <w:r>
        <w:rPr>
          <w:rFonts w:eastAsia="Times New Roman"/>
        </w:rPr>
        <w:t xml:space="preserve">Universität </w:t>
      </w:r>
      <w:r w:rsidRPr="001761CC">
        <w:rPr>
          <w:rFonts w:eastAsia="Times New Roman"/>
        </w:rPr>
        <w:t xml:space="preserve">ist in </w:t>
      </w:r>
      <w:commentRangeStart w:id="10"/>
      <w:r w:rsidRPr="001761CC">
        <w:rPr>
          <w:rFonts w:eastAsia="Times New Roman"/>
        </w:rPr>
        <w:t>Anlage 1</w:t>
      </w:r>
      <w:commentRangeEnd w:id="10"/>
      <w:r w:rsidR="005835E5">
        <w:rPr>
          <w:rStyle w:val="Kommentarzeichen"/>
        </w:rPr>
        <w:commentReference w:id="10"/>
      </w:r>
      <w:r w:rsidRPr="001761CC">
        <w:rPr>
          <w:rFonts w:eastAsia="Times New Roman"/>
        </w:rPr>
        <w:t xml:space="preserve"> dokumentiert. Es wird mindestens wä</w:t>
      </w:r>
      <w:r w:rsidRPr="001761CC">
        <w:rPr>
          <w:rFonts w:eastAsia="Times New Roman"/>
        </w:rPr>
        <w:t>h</w:t>
      </w:r>
      <w:r w:rsidRPr="001761CC">
        <w:rPr>
          <w:rFonts w:eastAsia="Times New Roman"/>
        </w:rPr>
        <w:t>rend des Vereinbarungszeitraumes der Zielvereinbarung als Referenzsystem für die erforderlichen Abstimmungen zu den Studienangeboten dienen.</w:t>
      </w:r>
    </w:p>
    <w:p w:rsidR="002006DA" w:rsidRDefault="002006DA" w:rsidP="002006DA">
      <w:pPr>
        <w:spacing w:before="120" w:after="120"/>
        <w:jc w:val="both"/>
        <w:rPr>
          <w:rFonts w:eastAsia="Times New Roman"/>
        </w:rPr>
      </w:pPr>
      <w:r>
        <w:rPr>
          <w:rFonts w:eastAsia="Times New Roman"/>
        </w:rPr>
        <w:t>(7) Die Universität überprüft regelmäßig ihre Studiengänge</w:t>
      </w:r>
      <w:r w:rsidRPr="00FA30CD">
        <w:rPr>
          <w:rFonts w:eastAsia="Times New Roman"/>
        </w:rPr>
        <w:t xml:space="preserve"> </w:t>
      </w:r>
      <w:r>
        <w:rPr>
          <w:rFonts w:eastAsia="Times New Roman"/>
        </w:rPr>
        <w:t xml:space="preserve">bezüglich der Auslastung. Hinsichtlich der quantitativen Mindestvoraussetzung orientiert sie sich im Allgemeinen an einer Auslastung von 15 Studienanfängern pro Jahr im </w:t>
      </w:r>
      <w:commentRangeStart w:id="11"/>
      <w:r>
        <w:rPr>
          <w:rFonts w:eastAsia="Times New Roman"/>
        </w:rPr>
        <w:t>Bachelor- und Masterbereich</w:t>
      </w:r>
      <w:commentRangeEnd w:id="11"/>
      <w:r w:rsidR="005835E5">
        <w:rPr>
          <w:rStyle w:val="Kommentarzeichen"/>
        </w:rPr>
        <w:commentReference w:id="11"/>
      </w:r>
      <w:r>
        <w:rPr>
          <w:rFonts w:eastAsia="Times New Roman"/>
        </w:rPr>
        <w:t>, mit Ausnahme einer 2-Jährigen Anlau</w:t>
      </w:r>
      <w:r>
        <w:rPr>
          <w:rFonts w:eastAsia="Times New Roman"/>
        </w:rPr>
        <w:t>f</w:t>
      </w:r>
      <w:r>
        <w:rPr>
          <w:rFonts w:eastAsia="Times New Roman"/>
        </w:rPr>
        <w:t>phase. Erfüllt ein Studiengang (</w:t>
      </w:r>
      <w:r w:rsidR="00611212">
        <w:rPr>
          <w:rFonts w:eastAsia="Times New Roman"/>
        </w:rPr>
        <w:t xml:space="preserve">außerhalb </w:t>
      </w:r>
      <w:r>
        <w:rPr>
          <w:rFonts w:eastAsia="Times New Roman"/>
        </w:rPr>
        <w:t>der Anlaufphase) über 3 Jahre nicht die geforderten Krit</w:t>
      </w:r>
      <w:r>
        <w:rPr>
          <w:rFonts w:eastAsia="Times New Roman"/>
        </w:rPr>
        <w:t>e</w:t>
      </w:r>
      <w:r>
        <w:rPr>
          <w:rFonts w:eastAsia="Times New Roman"/>
        </w:rPr>
        <w:t xml:space="preserve">rien, </w:t>
      </w:r>
      <w:commentRangeStart w:id="12"/>
      <w:r>
        <w:rPr>
          <w:rFonts w:eastAsia="Times New Roman"/>
        </w:rPr>
        <w:t xml:space="preserve">wird er </w:t>
      </w:r>
      <w:r w:rsidRPr="00AA5042">
        <w:rPr>
          <w:rFonts w:eastAsia="Times New Roman"/>
        </w:rPr>
        <w:t>geschlossen</w:t>
      </w:r>
      <w:r>
        <w:rPr>
          <w:rFonts w:eastAsia="Times New Roman"/>
        </w:rPr>
        <w:t xml:space="preserve"> oder die Aufrechterhaltung ist gegenüber dem MW zu begründen.</w:t>
      </w:r>
      <w:commentRangeEnd w:id="12"/>
      <w:r w:rsidR="005835E5">
        <w:rPr>
          <w:rStyle w:val="Kommentarzeichen"/>
        </w:rPr>
        <w:commentReference w:id="12"/>
      </w:r>
    </w:p>
    <w:p w:rsidR="002006DA" w:rsidRDefault="002006DA" w:rsidP="002006DA">
      <w:pPr>
        <w:spacing w:before="120" w:after="120"/>
        <w:jc w:val="both"/>
        <w:rPr>
          <w:rFonts w:eastAsia="Times New Roman"/>
        </w:rPr>
      </w:pPr>
      <w:r>
        <w:rPr>
          <w:rFonts w:eastAsia="Times New Roman"/>
        </w:rPr>
        <w:t xml:space="preserve">(8) Bis zum </w:t>
      </w:r>
      <w:r w:rsidRPr="00E16195">
        <w:rPr>
          <w:rFonts w:eastAsia="Times New Roman"/>
        </w:rPr>
        <w:t>Wintersemester 201</w:t>
      </w:r>
      <w:r>
        <w:rPr>
          <w:rFonts w:eastAsia="Times New Roman"/>
        </w:rPr>
        <w:t>6</w:t>
      </w:r>
      <w:r w:rsidRPr="00E16195">
        <w:rPr>
          <w:rFonts w:eastAsia="Times New Roman"/>
        </w:rPr>
        <w:t>/1</w:t>
      </w:r>
      <w:r>
        <w:rPr>
          <w:rFonts w:eastAsia="Times New Roman"/>
        </w:rPr>
        <w:t>7</w:t>
      </w:r>
      <w:r w:rsidRPr="00E16195">
        <w:rPr>
          <w:rFonts w:eastAsia="Times New Roman"/>
        </w:rPr>
        <w:t xml:space="preserve"> </w:t>
      </w:r>
      <w:r>
        <w:rPr>
          <w:rFonts w:eastAsia="Times New Roman"/>
        </w:rPr>
        <w:t>werden die hochschulspezifischen Standards in der Qualitätss</w:t>
      </w:r>
      <w:r>
        <w:rPr>
          <w:rFonts w:eastAsia="Times New Roman"/>
        </w:rPr>
        <w:t>i</w:t>
      </w:r>
      <w:r>
        <w:rPr>
          <w:rFonts w:eastAsia="Times New Roman"/>
        </w:rPr>
        <w:t>cherung in der Lehre überprüft und die Universität äußert sich gegenüber dem MW bezüglich deren Weiterentwicklung, insbesondere der weiteren Einbeziehung externer Expertise.</w:t>
      </w:r>
    </w:p>
    <w:p w:rsidR="002006DA" w:rsidRDefault="002006DA" w:rsidP="002006DA">
      <w:pPr>
        <w:spacing w:before="120" w:after="120"/>
        <w:jc w:val="both"/>
      </w:pPr>
      <w:r>
        <w:rPr>
          <w:rFonts w:eastAsia="Times New Roman"/>
        </w:rPr>
        <w:t>(9) B</w:t>
      </w:r>
      <w:r>
        <w:t xml:space="preserve">ezüglich der Anschlussfähigkeit der Bachelorstudiengänge </w:t>
      </w:r>
      <w:r w:rsidRPr="00FB66B8">
        <w:t>in den Bereichen Ingenieurwisse</w:t>
      </w:r>
      <w:r w:rsidRPr="00FB66B8">
        <w:t>n</w:t>
      </w:r>
      <w:r w:rsidRPr="00FB66B8">
        <w:t>schaften</w:t>
      </w:r>
      <w:r>
        <w:t xml:space="preserve">, </w:t>
      </w:r>
      <w:commentRangeStart w:id="13"/>
      <w:r w:rsidRPr="00FB66B8">
        <w:t>Soziale Arbeit</w:t>
      </w:r>
      <w:commentRangeEnd w:id="13"/>
      <w:r w:rsidR="00EE3203">
        <w:rPr>
          <w:rStyle w:val="Kommentarzeichen"/>
        </w:rPr>
        <w:commentReference w:id="13"/>
      </w:r>
      <w:r>
        <w:t>, Medien- und</w:t>
      </w:r>
      <w:r w:rsidRPr="00FB66B8">
        <w:t xml:space="preserve"> Wirtschaftswissenschaften</w:t>
      </w:r>
      <w:r>
        <w:t xml:space="preserve"> stimmt sich die Universität mit den betreffenden Hochschulen ab.</w:t>
      </w:r>
    </w:p>
    <w:p w:rsidR="002006DA" w:rsidRDefault="002006DA" w:rsidP="002006DA">
      <w:pPr>
        <w:spacing w:before="120" w:after="120"/>
        <w:jc w:val="both"/>
        <w:rPr>
          <w:rFonts w:eastAsia="Times New Roman"/>
        </w:rPr>
      </w:pPr>
      <w:r>
        <w:rPr>
          <w:rFonts w:eastAsia="Times New Roman"/>
        </w:rPr>
        <w:t>(10</w:t>
      </w:r>
      <w:r w:rsidRPr="0010214D">
        <w:rPr>
          <w:rFonts w:eastAsia="Times New Roman"/>
        </w:rPr>
        <w:t>)</w:t>
      </w:r>
      <w:r>
        <w:rPr>
          <w:rFonts w:eastAsia="Times New Roman"/>
        </w:rPr>
        <w:t xml:space="preserve"> </w:t>
      </w:r>
      <w:r w:rsidRPr="0010214D">
        <w:rPr>
          <w:rFonts w:eastAsia="Times New Roman"/>
        </w:rPr>
        <w:t xml:space="preserve">Die </w:t>
      </w:r>
      <w:r>
        <w:rPr>
          <w:rFonts w:eastAsia="Times New Roman"/>
        </w:rPr>
        <w:t>Universität</w:t>
      </w:r>
      <w:r w:rsidRPr="0010214D">
        <w:rPr>
          <w:rFonts w:eastAsia="Times New Roman"/>
        </w:rPr>
        <w:t xml:space="preserve"> baut die Qualität der Auswahlverfahren bei NC-Studiengängen kontinuierlich aus. Sie berichtet zum W</w:t>
      </w:r>
      <w:r>
        <w:rPr>
          <w:rFonts w:eastAsia="Times New Roman"/>
        </w:rPr>
        <w:t>intersemester</w:t>
      </w:r>
      <w:r w:rsidRPr="0010214D">
        <w:rPr>
          <w:rFonts w:eastAsia="Times New Roman"/>
        </w:rPr>
        <w:t xml:space="preserve"> </w:t>
      </w:r>
      <w:r>
        <w:rPr>
          <w:rFonts w:eastAsia="Times New Roman"/>
        </w:rPr>
        <w:t>20</w:t>
      </w:r>
      <w:r w:rsidRPr="0010214D">
        <w:rPr>
          <w:rFonts w:eastAsia="Times New Roman"/>
        </w:rPr>
        <w:t>17/18 über die aktuellen Erfahrungen und prüft</w:t>
      </w:r>
      <w:r>
        <w:rPr>
          <w:rFonts w:eastAsia="Times New Roman"/>
        </w:rPr>
        <w:t>,</w:t>
      </w:r>
      <w:r w:rsidRPr="0010214D">
        <w:rPr>
          <w:rFonts w:eastAsia="Times New Roman"/>
        </w:rPr>
        <w:t xml:space="preserve"> inwieweit die bestehenden Auswahlmethoden z.B. durch weiterentwickelte individuelle Bewerbergespräche ausg</w:t>
      </w:r>
      <w:r w:rsidRPr="0010214D">
        <w:rPr>
          <w:rFonts w:eastAsia="Times New Roman"/>
        </w:rPr>
        <w:t>e</w:t>
      </w:r>
      <w:r w:rsidRPr="0010214D">
        <w:rPr>
          <w:rFonts w:eastAsia="Times New Roman"/>
        </w:rPr>
        <w:t xml:space="preserve">baut werden sollten. Dabei berücksichtigt </w:t>
      </w:r>
      <w:r>
        <w:rPr>
          <w:rFonts w:eastAsia="Times New Roman"/>
        </w:rPr>
        <w:t>s</w:t>
      </w:r>
      <w:r w:rsidRPr="0010214D">
        <w:rPr>
          <w:rFonts w:eastAsia="Times New Roman"/>
        </w:rPr>
        <w:t xml:space="preserve">ie </w:t>
      </w:r>
      <w:r>
        <w:rPr>
          <w:rFonts w:eastAsia="Times New Roman"/>
        </w:rPr>
        <w:t>eine</w:t>
      </w:r>
      <w:r w:rsidRPr="0010214D">
        <w:rPr>
          <w:rFonts w:eastAsia="Times New Roman"/>
        </w:rPr>
        <w:t xml:space="preserve"> zielgerichtete Studienbewerberauswahl zur Erh</w:t>
      </w:r>
      <w:r w:rsidRPr="0010214D">
        <w:rPr>
          <w:rFonts w:eastAsia="Times New Roman"/>
        </w:rPr>
        <w:t>ö</w:t>
      </w:r>
      <w:r w:rsidRPr="0010214D">
        <w:rPr>
          <w:rFonts w:eastAsia="Times New Roman"/>
        </w:rPr>
        <w:t>hung der Absolventenzahlen ebenso wie die Forderung nach schnellen Auswahlverfahren und kurzen Bearbeitungszeiten.</w:t>
      </w:r>
    </w:p>
    <w:p w:rsidR="002006DA" w:rsidRPr="00D41B7D" w:rsidRDefault="002006DA" w:rsidP="002006DA">
      <w:pPr>
        <w:pStyle w:val="Formatvorlage2"/>
        <w:spacing w:before="120" w:after="120"/>
        <w:rPr>
          <w:rFonts w:ascii="Arial" w:hAnsi="Arial"/>
        </w:rPr>
      </w:pPr>
      <w:r w:rsidRPr="00D41B7D">
        <w:rPr>
          <w:rFonts w:ascii="Arial" w:hAnsi="Arial"/>
        </w:rPr>
        <w:t>(</w:t>
      </w:r>
      <w:r>
        <w:rPr>
          <w:rFonts w:ascii="Arial" w:hAnsi="Arial"/>
        </w:rPr>
        <w:t>11</w:t>
      </w:r>
      <w:r w:rsidRPr="00D41B7D">
        <w:rPr>
          <w:rFonts w:ascii="Arial" w:hAnsi="Arial"/>
        </w:rPr>
        <w:t xml:space="preserve">) Zur Qualitätssicherung der Promotion berücksichtigt die </w:t>
      </w:r>
      <w:r>
        <w:rPr>
          <w:rFonts w:ascii="Arial" w:hAnsi="Arial"/>
        </w:rPr>
        <w:t>Universität</w:t>
      </w:r>
      <w:r w:rsidRPr="00D41B7D">
        <w:rPr>
          <w:rFonts w:ascii="Arial" w:hAnsi="Arial"/>
        </w:rPr>
        <w:t xml:space="preserve"> die einschlägigen Empfehlu</w:t>
      </w:r>
      <w:r w:rsidRPr="00D41B7D">
        <w:rPr>
          <w:rFonts w:ascii="Arial" w:hAnsi="Arial"/>
        </w:rPr>
        <w:t>n</w:t>
      </w:r>
      <w:r w:rsidRPr="00D41B7D">
        <w:rPr>
          <w:rFonts w:ascii="Arial" w:hAnsi="Arial"/>
        </w:rPr>
        <w:t>gen der H</w:t>
      </w:r>
      <w:r>
        <w:rPr>
          <w:rFonts w:ascii="Arial" w:hAnsi="Arial"/>
        </w:rPr>
        <w:t>ochschulrektorenkonferenz</w:t>
      </w:r>
      <w:r w:rsidRPr="00D41B7D">
        <w:rPr>
          <w:rFonts w:ascii="Arial" w:hAnsi="Arial"/>
        </w:rPr>
        <w:t>, der D</w:t>
      </w:r>
      <w:r>
        <w:rPr>
          <w:rFonts w:ascii="Arial" w:hAnsi="Arial"/>
        </w:rPr>
        <w:t>eutschen Forschungsgemeinschaft</w:t>
      </w:r>
      <w:r w:rsidRPr="00D41B7D">
        <w:rPr>
          <w:rFonts w:ascii="Arial" w:hAnsi="Arial"/>
        </w:rPr>
        <w:t>, des W</w:t>
      </w:r>
      <w:r>
        <w:rPr>
          <w:rFonts w:ascii="Arial" w:hAnsi="Arial"/>
        </w:rPr>
        <w:t>issenschaftsr</w:t>
      </w:r>
      <w:r>
        <w:rPr>
          <w:rFonts w:ascii="Arial" w:hAnsi="Arial"/>
        </w:rPr>
        <w:t>a</w:t>
      </w:r>
      <w:r>
        <w:rPr>
          <w:rFonts w:ascii="Arial" w:hAnsi="Arial"/>
        </w:rPr>
        <w:t>tes</w:t>
      </w:r>
      <w:r w:rsidRPr="00D41B7D">
        <w:rPr>
          <w:rFonts w:ascii="Arial" w:hAnsi="Arial"/>
        </w:rPr>
        <w:t xml:space="preserve"> sowie insbesondere des Beschlusses der K</w:t>
      </w:r>
      <w:r>
        <w:rPr>
          <w:rFonts w:ascii="Arial" w:hAnsi="Arial"/>
        </w:rPr>
        <w:t>ultusministerkonferenz</w:t>
      </w:r>
      <w:r w:rsidRPr="00D41B7D">
        <w:rPr>
          <w:rFonts w:ascii="Arial" w:hAnsi="Arial"/>
        </w:rPr>
        <w:t xml:space="preserve"> vom Mai 2014. Zur Umsetzung des Beschlusses gewährleistet die </w:t>
      </w:r>
      <w:r>
        <w:rPr>
          <w:rFonts w:ascii="Arial" w:hAnsi="Arial"/>
        </w:rPr>
        <w:t>Universität</w:t>
      </w:r>
      <w:r w:rsidRPr="00D41B7D">
        <w:rPr>
          <w:rFonts w:ascii="Arial" w:hAnsi="Arial"/>
        </w:rPr>
        <w:t>:</w:t>
      </w:r>
    </w:p>
    <w:p w:rsidR="002006DA" w:rsidRDefault="002006DA" w:rsidP="002006DA">
      <w:pPr>
        <w:pStyle w:val="KeinLeerraum"/>
        <w:spacing w:before="120" w:after="120"/>
        <w:ind w:left="709"/>
        <w:jc w:val="both"/>
      </w:pPr>
      <w:r>
        <w:t>(a</w:t>
      </w:r>
      <w:r w:rsidRPr="00F773DC">
        <w:t>)</w:t>
      </w:r>
      <w:r>
        <w:t xml:space="preserve"> </w:t>
      </w:r>
      <w:r w:rsidRPr="00A57E1F">
        <w:rPr>
          <w:i/>
        </w:rPr>
        <w:t>die Stärkung der kollegialen Verantwortung</w:t>
      </w:r>
      <w:r w:rsidRPr="00F773DC">
        <w:t xml:space="preserve"> z. B. durch</w:t>
      </w:r>
      <w:r>
        <w:t xml:space="preserve"> einen</w:t>
      </w:r>
      <w:r w:rsidRPr="00F773DC">
        <w:t xml:space="preserve"> Promotionsaus</w:t>
      </w:r>
      <w:r>
        <w:t>schuss</w:t>
      </w:r>
      <w:r w:rsidRPr="00F773DC">
        <w:t>, in</w:t>
      </w:r>
      <w:r w:rsidRPr="00F773DC">
        <w:t>s</w:t>
      </w:r>
      <w:r w:rsidRPr="00F773DC">
        <w:t>besondere bei der Entscheidung über die Annahme zur Promotion</w:t>
      </w:r>
      <w:r>
        <w:t>, um</w:t>
      </w:r>
      <w:r w:rsidRPr="00F773DC">
        <w:t xml:space="preserve"> </w:t>
      </w:r>
      <w:r>
        <w:t>die transparente A</w:t>
      </w:r>
      <w:r>
        <w:t>n</w:t>
      </w:r>
      <w:r>
        <w:t>wendung von gleichartigen Auswahlkriterien für die Zulassung zur Promotion an den Fakult</w:t>
      </w:r>
      <w:r>
        <w:t>ä</w:t>
      </w:r>
      <w:r>
        <w:t>ten zu ermöglichen.</w:t>
      </w:r>
    </w:p>
    <w:p w:rsidR="002006DA" w:rsidRDefault="002006DA" w:rsidP="002006DA">
      <w:pPr>
        <w:pStyle w:val="KeinLeerraum"/>
        <w:spacing w:before="120" w:after="120"/>
        <w:ind w:left="709"/>
        <w:jc w:val="both"/>
      </w:pPr>
      <w:r>
        <w:t>(b</w:t>
      </w:r>
      <w:r w:rsidRPr="00F773DC">
        <w:t>)</w:t>
      </w:r>
      <w:r>
        <w:t xml:space="preserve"> </w:t>
      </w:r>
      <w:r w:rsidRPr="00291B63">
        <w:rPr>
          <w:i/>
        </w:rPr>
        <w:t>die</w:t>
      </w:r>
      <w:r w:rsidRPr="00F773DC">
        <w:t xml:space="preserve"> </w:t>
      </w:r>
      <w:r w:rsidRPr="00A57E1F">
        <w:rPr>
          <w:i/>
        </w:rPr>
        <w:t>Schaffung einer validen Datenbasis</w:t>
      </w:r>
      <w:r w:rsidRPr="00F773DC">
        <w:t>, insbesondere über die Zahl der laufenden Prom</w:t>
      </w:r>
      <w:r w:rsidRPr="00F773DC">
        <w:t>o</w:t>
      </w:r>
      <w:r w:rsidRPr="00F773DC">
        <w:t>tio</w:t>
      </w:r>
      <w:r>
        <w:t xml:space="preserve">nen durch </w:t>
      </w:r>
      <w:r w:rsidRPr="00F773DC">
        <w:t>Registrierung der Promovierenden ab dem Zeit</w:t>
      </w:r>
      <w:r>
        <w:t>punkt der Betreuungszusage s</w:t>
      </w:r>
      <w:r>
        <w:t>o</w:t>
      </w:r>
      <w:r>
        <w:t>wie jährliche Feststellung über Fortdauer bzw. Beendigung des Promotionsvorhabens mit oder ohne Abschluss.</w:t>
      </w:r>
    </w:p>
    <w:p w:rsidR="002006DA" w:rsidRDefault="002006DA" w:rsidP="002006DA">
      <w:pPr>
        <w:pStyle w:val="KeinLeerraum"/>
        <w:spacing w:before="120" w:after="120"/>
        <w:ind w:left="709"/>
        <w:jc w:val="both"/>
      </w:pPr>
      <w:r>
        <w:t>(c</w:t>
      </w:r>
      <w:r w:rsidRPr="00F773DC">
        <w:t xml:space="preserve">) </w:t>
      </w:r>
      <w:r w:rsidRPr="00291B63">
        <w:rPr>
          <w:i/>
        </w:rPr>
        <w:t>die</w:t>
      </w:r>
      <w:r>
        <w:t xml:space="preserve"> </w:t>
      </w:r>
      <w:r w:rsidRPr="00291B63">
        <w:rPr>
          <w:i/>
        </w:rPr>
        <w:t>Fokussierung der Promotion auf die selbständige wissenschaftliche Forschungslei</w:t>
      </w:r>
      <w:r w:rsidRPr="00291B63">
        <w:rPr>
          <w:i/>
        </w:rPr>
        <w:t>s</w:t>
      </w:r>
      <w:r w:rsidRPr="00291B63">
        <w:rPr>
          <w:i/>
        </w:rPr>
        <w:t>tung</w:t>
      </w:r>
      <w:r>
        <w:rPr>
          <w:i/>
        </w:rPr>
        <w:t>.</w:t>
      </w:r>
      <w:r w:rsidRPr="00F773DC">
        <w:t xml:space="preserve"> </w:t>
      </w:r>
      <w:r>
        <w:t xml:space="preserve">Die </w:t>
      </w:r>
      <w:r w:rsidRPr="00F773DC">
        <w:t>schriftliche Promotionsleistung</w:t>
      </w:r>
      <w:r>
        <w:t xml:space="preserve"> (Dissertationsschrift)</w:t>
      </w:r>
      <w:r w:rsidRPr="00F773DC">
        <w:t xml:space="preserve"> </w:t>
      </w:r>
      <w:r>
        <w:t>sollte</w:t>
      </w:r>
      <w:r w:rsidRPr="00F773DC">
        <w:t xml:space="preserve"> Gegenstand der mündl</w:t>
      </w:r>
      <w:r w:rsidRPr="00F773DC">
        <w:t>i</w:t>
      </w:r>
      <w:r w:rsidRPr="00F773DC">
        <w:t>chen Abschlussprüfung</w:t>
      </w:r>
      <w:r>
        <w:t>, bspw. in einem Kolloquium oder einer Disputation sein.</w:t>
      </w:r>
    </w:p>
    <w:p w:rsidR="002006DA" w:rsidRDefault="002006DA" w:rsidP="002006DA">
      <w:pPr>
        <w:pStyle w:val="KeinLeerraum"/>
        <w:spacing w:before="120" w:after="120"/>
        <w:ind w:left="709"/>
        <w:jc w:val="both"/>
      </w:pPr>
      <w:r>
        <w:t>(d</w:t>
      </w:r>
      <w:r w:rsidRPr="00F773DC">
        <w:t>)</w:t>
      </w:r>
      <w:r>
        <w:t xml:space="preserve"> </w:t>
      </w:r>
      <w:r w:rsidRPr="00291B63">
        <w:rPr>
          <w:i/>
        </w:rPr>
        <w:t>den Abschluss von Betreuungsvereinbarungen</w:t>
      </w:r>
      <w:r>
        <w:rPr>
          <w:i/>
        </w:rPr>
        <w:t xml:space="preserve"> mit allen Promovierenden</w:t>
      </w:r>
      <w:r w:rsidRPr="00F773DC">
        <w:t xml:space="preserve">. </w:t>
      </w:r>
      <w:r>
        <w:t xml:space="preserve">In ihnen werden </w:t>
      </w:r>
      <w:r w:rsidRPr="00F773DC">
        <w:t>die gegenseitigen Rechte und Pflichten der Betreuer</w:t>
      </w:r>
      <w:r>
        <w:t xml:space="preserve"> und der Promovierenden </w:t>
      </w:r>
      <w:r w:rsidRPr="00F773DC">
        <w:t>fixie</w:t>
      </w:r>
      <w:r>
        <w:t>rt.</w:t>
      </w:r>
    </w:p>
    <w:p w:rsidR="002006DA" w:rsidRDefault="002006DA" w:rsidP="002006DA">
      <w:pPr>
        <w:pStyle w:val="KeinLeerraum"/>
        <w:spacing w:before="120" w:after="120"/>
        <w:ind w:left="709"/>
        <w:jc w:val="both"/>
      </w:pPr>
      <w:r>
        <w:lastRenderedPageBreak/>
        <w:t xml:space="preserve">(e) </w:t>
      </w:r>
      <w:r w:rsidRPr="00D128DC">
        <w:rPr>
          <w:i/>
        </w:rPr>
        <w:t xml:space="preserve">die </w:t>
      </w:r>
      <w:r w:rsidR="001D3EA1">
        <w:rPr>
          <w:i/>
        </w:rPr>
        <w:t xml:space="preserve">Stärkung der </w:t>
      </w:r>
      <w:r w:rsidRPr="00D128DC">
        <w:rPr>
          <w:i/>
        </w:rPr>
        <w:t>Unabhängigkeit der Begutachtung</w:t>
      </w:r>
      <w:r>
        <w:t xml:space="preserve"> der schriftlichen Promotionsleistung durch die grundsätzliche Einbeziehung eines Gutachters einer anderen Hochschule oder Fo</w:t>
      </w:r>
      <w:r>
        <w:t>r</w:t>
      </w:r>
      <w:r>
        <w:t>schungseinrichtung.</w:t>
      </w:r>
    </w:p>
    <w:p w:rsidR="002006DA" w:rsidRDefault="002006DA" w:rsidP="002006DA">
      <w:pPr>
        <w:pStyle w:val="KeinLeerraum"/>
        <w:spacing w:before="120" w:after="120"/>
        <w:ind w:left="709"/>
        <w:jc w:val="both"/>
      </w:pPr>
      <w:r>
        <w:t xml:space="preserve">(f) </w:t>
      </w:r>
      <w:r w:rsidRPr="00D128DC">
        <w:rPr>
          <w:i/>
        </w:rPr>
        <w:t>die Etablierung von Verfahren zur Konfliktlösung</w:t>
      </w:r>
      <w:r>
        <w:t xml:space="preserve"> durch Benennung einer </w:t>
      </w:r>
      <w:proofErr w:type="spellStart"/>
      <w:r>
        <w:t>Ombudsperson</w:t>
      </w:r>
      <w:proofErr w:type="spellEnd"/>
      <w:r>
        <w:t xml:space="preserve"> an der Universität und Festlegung ihrer Funktion und Befugnisse im Schlichtungsverfahren.</w:t>
      </w:r>
    </w:p>
    <w:p w:rsidR="00EE3203" w:rsidRPr="00EE3203" w:rsidRDefault="00EE3203" w:rsidP="002006DA">
      <w:pPr>
        <w:pStyle w:val="KeinLeerraum"/>
        <w:spacing w:before="120" w:after="120"/>
        <w:ind w:left="709"/>
        <w:jc w:val="both"/>
      </w:pPr>
      <w:commentRangeStart w:id="14"/>
      <w:r w:rsidRPr="00EE3203">
        <w:t xml:space="preserve">(g) Planungssicherheit für eine qualitativ hochwertige Promotion. </w:t>
      </w:r>
      <w:r w:rsidRPr="00EE3203">
        <w:rPr>
          <w:color w:val="000000"/>
          <w:sz w:val="18"/>
          <w:szCs w:val="18"/>
          <w:shd w:val="clear" w:color="auto" w:fill="FFFFFF"/>
        </w:rPr>
        <w:t>Landesgraduiertenförderung, Stellen etc. könn</w:t>
      </w:r>
      <w:r>
        <w:rPr>
          <w:color w:val="000000"/>
          <w:sz w:val="18"/>
          <w:szCs w:val="18"/>
          <w:shd w:val="clear" w:color="auto" w:fill="FFFFFF"/>
        </w:rPr>
        <w:t>t</w:t>
      </w:r>
      <w:r w:rsidRPr="00EE3203">
        <w:rPr>
          <w:color w:val="000000"/>
          <w:sz w:val="18"/>
          <w:szCs w:val="18"/>
          <w:shd w:val="clear" w:color="auto" w:fill="FFFFFF"/>
        </w:rPr>
        <w:t>en hier Abhilfe schaffen.</w:t>
      </w:r>
      <w:commentRangeEnd w:id="14"/>
      <w:r>
        <w:rPr>
          <w:rStyle w:val="Kommentarzeichen"/>
        </w:rPr>
        <w:commentReference w:id="14"/>
      </w:r>
    </w:p>
    <w:p w:rsidR="002006DA" w:rsidRPr="00D41B7D" w:rsidRDefault="002006DA" w:rsidP="002006DA">
      <w:pPr>
        <w:pStyle w:val="Formatvorlage2"/>
        <w:spacing w:before="120" w:after="120"/>
        <w:rPr>
          <w:rFonts w:ascii="Arial" w:hAnsi="Arial"/>
        </w:rPr>
      </w:pPr>
      <w:r w:rsidRPr="00D41B7D">
        <w:rPr>
          <w:rFonts w:ascii="Arial" w:hAnsi="Arial"/>
        </w:rPr>
        <w:t xml:space="preserve">Über die hierzu veranlassten Maßnahmen berichtet die </w:t>
      </w:r>
      <w:r>
        <w:rPr>
          <w:rFonts w:ascii="Arial" w:hAnsi="Arial"/>
        </w:rPr>
        <w:t>Universität</w:t>
      </w:r>
      <w:r w:rsidRPr="00D41B7D">
        <w:rPr>
          <w:rFonts w:ascii="Arial" w:hAnsi="Arial"/>
        </w:rPr>
        <w:t xml:space="preserve"> mit dem Rektoratsbericht über das Jahr 2016.</w:t>
      </w:r>
    </w:p>
    <w:p w:rsidR="002006DA" w:rsidRDefault="002006DA" w:rsidP="002006DA">
      <w:pPr>
        <w:spacing w:before="120" w:after="120"/>
        <w:jc w:val="both"/>
        <w:rPr>
          <w:rFonts w:eastAsia="Times New Roman"/>
        </w:rPr>
      </w:pPr>
      <w:r>
        <w:t>(12) Die Universität ist gehalten, die Kooperationsbeziehungen zur Hochschule Magdeburg-Stendal weiter auszubauen. Ziel ist eine bessere Verzahnung der Studienangebote und der Dienstleistung</w:t>
      </w:r>
      <w:r>
        <w:t>s</w:t>
      </w:r>
      <w:r>
        <w:t>einrichtungen zu erreichen, dabei sind auch gemeinsame Studienangebote in Verbindung mit gemei</w:t>
      </w:r>
      <w:r>
        <w:t>n</w:t>
      </w:r>
      <w:r>
        <w:t xml:space="preserve">samen Lehrleistungen einzubeziehen. </w:t>
      </w:r>
      <w:r w:rsidRPr="00AA5042">
        <w:rPr>
          <w:rFonts w:eastAsia="Times New Roman"/>
        </w:rPr>
        <w:t>Beide Einrichtungen prüfen in diesem Zusammenhang die Ei</w:t>
      </w:r>
      <w:r w:rsidRPr="00AA5042">
        <w:rPr>
          <w:rFonts w:eastAsia="Times New Roman"/>
        </w:rPr>
        <w:t>n</w:t>
      </w:r>
      <w:r w:rsidRPr="00AA5042">
        <w:rPr>
          <w:rFonts w:eastAsia="Times New Roman"/>
        </w:rPr>
        <w:t>setzung einer Lenkungsgruppe, bestehend aus Vertretern beider Hochschulen und externen Experten bis zur Wintersemester 2015/16.</w:t>
      </w:r>
    </w:p>
    <w:p w:rsidR="002006DA" w:rsidRDefault="002006DA" w:rsidP="002006DA">
      <w:pPr>
        <w:spacing w:before="120" w:after="120"/>
        <w:jc w:val="both"/>
      </w:pPr>
      <w:r>
        <w:rPr>
          <w:rFonts w:eastAsia="Times New Roman"/>
        </w:rPr>
        <w:t>(13) Die Kooperationsvereinbarungen der Universität mit den außeruniversitären Forschungseinric</w:t>
      </w:r>
      <w:r>
        <w:rPr>
          <w:rFonts w:eastAsia="Times New Roman"/>
        </w:rPr>
        <w:t>h</w:t>
      </w:r>
      <w:r>
        <w:rPr>
          <w:rFonts w:eastAsia="Times New Roman"/>
        </w:rPr>
        <w:t xml:space="preserve">tungen </w:t>
      </w:r>
      <w:r w:rsidRPr="00AF7CDD">
        <w:rPr>
          <w:rFonts w:eastAsia="Times New Roman"/>
        </w:rPr>
        <w:t>werden auf ihre Aktualität geprüft und präzisiert</w:t>
      </w:r>
      <w:r>
        <w:rPr>
          <w:rFonts w:eastAsia="Times New Roman"/>
        </w:rPr>
        <w:t>.</w:t>
      </w:r>
      <w:r w:rsidRPr="0072000D">
        <w:t xml:space="preserve"> </w:t>
      </w:r>
      <w:r w:rsidRPr="00AF7CDD">
        <w:t xml:space="preserve">Für einen effektiven Ressourceneinsatz der vorhandenen Infrastruktur </w:t>
      </w:r>
      <w:commentRangeStart w:id="15"/>
      <w:r w:rsidRPr="00AF7CDD">
        <w:t xml:space="preserve">insbesondere im Bereich Bildgebung </w:t>
      </w:r>
      <w:commentRangeEnd w:id="15"/>
      <w:r w:rsidR="00EE3203">
        <w:rPr>
          <w:rStyle w:val="Kommentarzeichen"/>
        </w:rPr>
        <w:commentReference w:id="15"/>
      </w:r>
      <w:r w:rsidRPr="00AF7CDD">
        <w:t xml:space="preserve">ist die Investitionsstrategie unter </w:t>
      </w:r>
      <w:r w:rsidR="001D3EA1">
        <w:t>B</w:t>
      </w:r>
      <w:r w:rsidR="001D3EA1">
        <w:t>e</w:t>
      </w:r>
      <w:r w:rsidR="001D3EA1">
        <w:t>rücksichtigung der Kapazitäten</w:t>
      </w:r>
      <w:r w:rsidRPr="00AF7CDD">
        <w:t xml:space="preserve"> </w:t>
      </w:r>
      <w:r>
        <w:t xml:space="preserve">des </w:t>
      </w:r>
      <w:r>
        <w:rPr>
          <w:rFonts w:eastAsia="Times New Roman"/>
        </w:rPr>
        <w:t>Leibniz-Instituts für Neurobiologie (LIN) und des Deutschen Zen</w:t>
      </w:r>
      <w:r>
        <w:rPr>
          <w:rFonts w:eastAsia="Times New Roman"/>
        </w:rPr>
        <w:t>t</w:t>
      </w:r>
      <w:r>
        <w:rPr>
          <w:rFonts w:eastAsia="Times New Roman"/>
        </w:rPr>
        <w:t>rums für Neurodegenerative Erkrankungen (</w:t>
      </w:r>
      <w:r w:rsidRPr="00AF7CDD">
        <w:t>DZNE</w:t>
      </w:r>
      <w:r>
        <w:t>)</w:t>
      </w:r>
      <w:r w:rsidRPr="00AF7CDD">
        <w:t xml:space="preserve"> abzustimmen. Dabei sollte</w:t>
      </w:r>
      <w:r>
        <w:t>n</w:t>
      </w:r>
      <w:r w:rsidRPr="00AF7CDD">
        <w:t xml:space="preserve"> die gemeinschaftliche Nutzung der Großgeräte sowie eine </w:t>
      </w:r>
      <w:r w:rsidR="001D3EA1">
        <w:t xml:space="preserve">beidseitige </w:t>
      </w:r>
      <w:r w:rsidRPr="00AF7CDD">
        <w:t>Abstimmung der mittelfristigen Entwicklung der Ger</w:t>
      </w:r>
      <w:r w:rsidRPr="00AF7CDD">
        <w:t>ä</w:t>
      </w:r>
      <w:r w:rsidRPr="00AF7CDD">
        <w:t>tebe</w:t>
      </w:r>
      <w:r>
        <w:t xml:space="preserve">schaffungen </w:t>
      </w:r>
      <w:r w:rsidRPr="00AF7CDD">
        <w:t>erfolgen.</w:t>
      </w:r>
    </w:p>
    <w:p w:rsidR="002006DA" w:rsidRDefault="002006DA" w:rsidP="002006DA">
      <w:pPr>
        <w:spacing w:before="120" w:after="120"/>
        <w:jc w:val="both"/>
      </w:pPr>
      <w:r>
        <w:t>(14) Die</w:t>
      </w:r>
      <w:r w:rsidRPr="002615ED">
        <w:t xml:space="preserve"> Vorbereitungen für d</w:t>
      </w:r>
      <w:r>
        <w:t>en Aufbau eines</w:t>
      </w:r>
      <w:r w:rsidRPr="002615ED">
        <w:t xml:space="preserve"> </w:t>
      </w:r>
      <w:proofErr w:type="spellStart"/>
      <w:r w:rsidRPr="002615ED">
        <w:t>Zyklotron</w:t>
      </w:r>
      <w:r>
        <w:t>s</w:t>
      </w:r>
      <w:proofErr w:type="spellEnd"/>
      <w:r w:rsidRPr="002615ED">
        <w:t xml:space="preserve"> an der </w:t>
      </w:r>
      <w:r>
        <w:t>Universität</w:t>
      </w:r>
      <w:r w:rsidRPr="002615ED">
        <w:t xml:space="preserve"> </w:t>
      </w:r>
      <w:r>
        <w:t xml:space="preserve">sollten bis zum </w:t>
      </w:r>
      <w:r w:rsidRPr="00835C86">
        <w:rPr>
          <w:highlight w:val="yellow"/>
        </w:rPr>
        <w:t>XX.XX.XXXX (Referat 21)</w:t>
      </w:r>
      <w:r>
        <w:t xml:space="preserve"> abgeschlossen sein </w:t>
      </w:r>
      <w:r w:rsidRPr="00AD6F75">
        <w:t>und die strategische Kooperation vertraglich mit dem DZNE konkretisiert werden.</w:t>
      </w:r>
      <w:r>
        <w:t xml:space="preserve"> Hierzu gehört </w:t>
      </w:r>
      <w:r w:rsidRPr="002615ED">
        <w:t xml:space="preserve">die </w:t>
      </w:r>
      <w:r>
        <w:t xml:space="preserve">Umsetzung der </w:t>
      </w:r>
      <w:r w:rsidRPr="002615ED">
        <w:t>beabsichtigt</w:t>
      </w:r>
      <w:r>
        <w:t>en</w:t>
      </w:r>
      <w:r w:rsidRPr="002615ED">
        <w:t xml:space="preserve"> Berufung Radiochemie.</w:t>
      </w:r>
    </w:p>
    <w:p w:rsidR="002006DA" w:rsidRDefault="002006DA" w:rsidP="002006DA">
      <w:pPr>
        <w:spacing w:before="120" w:after="120"/>
        <w:jc w:val="both"/>
        <w:rPr>
          <w:rFonts w:eastAsia="Times New Roman"/>
        </w:rPr>
      </w:pPr>
      <w:r>
        <w:rPr>
          <w:rFonts w:eastAsia="Times New Roman"/>
        </w:rPr>
        <w:t xml:space="preserve">(15) </w:t>
      </w:r>
      <w:r w:rsidR="001D3EA1">
        <w:rPr>
          <w:rFonts w:eastAsia="Times New Roman"/>
        </w:rPr>
        <w:t>Die Ingenieurwissenschaften der Universität nehmen eine</w:t>
      </w:r>
      <w:r>
        <w:rPr>
          <w:rFonts w:eastAsia="Times New Roman"/>
        </w:rPr>
        <w:t xml:space="preserve"> Führungsrolle </w:t>
      </w:r>
      <w:r w:rsidR="001D3EA1">
        <w:rPr>
          <w:rFonts w:eastAsia="Times New Roman"/>
        </w:rPr>
        <w:t xml:space="preserve">auch </w:t>
      </w:r>
      <w:r>
        <w:rPr>
          <w:rFonts w:eastAsia="Times New Roman"/>
        </w:rPr>
        <w:t>in der anwe</w:t>
      </w:r>
      <w:r>
        <w:rPr>
          <w:rFonts w:eastAsia="Times New Roman"/>
        </w:rPr>
        <w:t>n</w:t>
      </w:r>
      <w:r>
        <w:rPr>
          <w:rFonts w:eastAsia="Times New Roman"/>
        </w:rPr>
        <w:t>dungsbezogenen Forschung</w:t>
      </w:r>
      <w:r w:rsidRPr="00750750">
        <w:rPr>
          <w:rFonts w:eastAsia="Times New Roman"/>
        </w:rPr>
        <w:t xml:space="preserve"> </w:t>
      </w:r>
      <w:r w:rsidR="001D3EA1">
        <w:rPr>
          <w:rFonts w:eastAsia="Times New Roman"/>
        </w:rPr>
        <w:t>ein</w:t>
      </w:r>
      <w:r>
        <w:rPr>
          <w:rFonts w:eastAsia="Times New Roman"/>
        </w:rPr>
        <w:t xml:space="preserve">. </w:t>
      </w:r>
      <w:r w:rsidRPr="00B238C9">
        <w:rPr>
          <w:rFonts w:eastAsia="Times New Roman"/>
        </w:rPr>
        <w:t>Hierbei ist vor allem auch die Kooperation mit der regionalen Wir</w:t>
      </w:r>
      <w:r w:rsidRPr="00B238C9">
        <w:rPr>
          <w:rFonts w:eastAsia="Times New Roman"/>
        </w:rPr>
        <w:t>t</w:t>
      </w:r>
      <w:r w:rsidRPr="00B238C9">
        <w:rPr>
          <w:rFonts w:eastAsia="Times New Roman"/>
        </w:rPr>
        <w:t xml:space="preserve">schaft zu suchen. </w:t>
      </w:r>
      <w:commentRangeStart w:id="16"/>
      <w:r w:rsidRPr="00B638A3">
        <w:rPr>
          <w:rFonts w:eastAsia="Times New Roman"/>
        </w:rPr>
        <w:t>Vom Transferschwerpunkt Automotiv wird erwartet, dass dieser sich bis zum Ende der Zielvereinbarungsperiode nicht mehr aus Grundmitteln der Hochschule finanziert.</w:t>
      </w:r>
      <w:commentRangeEnd w:id="16"/>
      <w:r w:rsidR="00EE3203">
        <w:rPr>
          <w:rStyle w:val="Kommentarzeichen"/>
        </w:rPr>
        <w:commentReference w:id="16"/>
      </w:r>
    </w:p>
    <w:p w:rsidR="002006DA" w:rsidRDefault="002006DA" w:rsidP="002006DA">
      <w:pPr>
        <w:spacing w:before="120" w:after="120"/>
        <w:jc w:val="both"/>
      </w:pPr>
      <w:r>
        <w:rPr>
          <w:rFonts w:eastAsia="Times New Roman"/>
        </w:rPr>
        <w:t xml:space="preserve">(16) </w:t>
      </w:r>
      <w:r>
        <w:t xml:space="preserve">Die strategische Ausgründungspolitik wird durch die Universität gestärkt und fortgesetzt. </w:t>
      </w:r>
      <w:r w:rsidR="00A17BA9">
        <w:t xml:space="preserve">Hierzu wird ein Transfer- und Gründer-Zentrum </w:t>
      </w:r>
      <w:commentRangeStart w:id="17"/>
      <w:r w:rsidR="00A17BA9">
        <w:t>(TUGZ</w:t>
      </w:r>
      <w:commentRangeEnd w:id="17"/>
      <w:r w:rsidR="00EE3203">
        <w:rPr>
          <w:rStyle w:val="Kommentarzeichen"/>
        </w:rPr>
        <w:commentReference w:id="17"/>
      </w:r>
      <w:r w:rsidR="00A17BA9">
        <w:t xml:space="preserve">) an der Universität etabliert, das erfolgsabhängig durch ergänzende Landesförderung unterstützt werden sollte. Zu den Maßnahmen </w:t>
      </w:r>
      <w:r>
        <w:t xml:space="preserve"> gehören insb</w:t>
      </w:r>
      <w:r>
        <w:t>e</w:t>
      </w:r>
      <w:r>
        <w:t>sondere:</w:t>
      </w:r>
    </w:p>
    <w:p w:rsidR="002006DA" w:rsidRDefault="002006DA" w:rsidP="002006DA">
      <w:pPr>
        <w:pStyle w:val="KeinLeerraum"/>
        <w:spacing w:before="120" w:after="120"/>
        <w:ind w:left="709"/>
        <w:jc w:val="both"/>
      </w:pPr>
      <w:r>
        <w:t>(a) die effiziente unternehmerische Erschließung und Verwertung von verfügbaren Fo</w:t>
      </w:r>
      <w:r>
        <w:t>r</w:t>
      </w:r>
      <w:r>
        <w:t>schungs- und Entwicklungsergebnissen,</w:t>
      </w:r>
    </w:p>
    <w:p w:rsidR="002006DA" w:rsidRPr="00AD6F75" w:rsidRDefault="002006DA" w:rsidP="002006DA">
      <w:pPr>
        <w:pStyle w:val="KeinLeerraum"/>
        <w:spacing w:before="120" w:after="120"/>
        <w:ind w:left="709"/>
        <w:jc w:val="both"/>
      </w:pPr>
      <w:r>
        <w:t xml:space="preserve">(b) </w:t>
      </w:r>
      <w:r w:rsidRPr="00AD6F75">
        <w:t>die Weiterentwicklung bereits vorhandener Unterstützungsstrukturen für die Begleitung i</w:t>
      </w:r>
      <w:r w:rsidRPr="00AD6F75">
        <w:t>n</w:t>
      </w:r>
      <w:r w:rsidRPr="00AD6F75">
        <w:t>novativer Unternehmensgründungen (leistungsfähige Serviceinfrastruktur für die Forcierung von akademischen Gründungen)</w:t>
      </w:r>
      <w:r>
        <w:t xml:space="preserve"> und</w:t>
      </w:r>
    </w:p>
    <w:p w:rsidR="002006DA" w:rsidRPr="00AD6F75" w:rsidRDefault="002006DA" w:rsidP="002006DA">
      <w:pPr>
        <w:pStyle w:val="KeinLeerraum"/>
        <w:spacing w:before="120" w:after="120"/>
        <w:ind w:left="709"/>
        <w:jc w:val="both"/>
      </w:pPr>
      <w:r>
        <w:t xml:space="preserve">(c) </w:t>
      </w:r>
      <w:r w:rsidRPr="00AD6F75">
        <w:t>eine signifikante Erhöhung der Einwerbung von Drittmitteln aus der Wirtschaft und nation</w:t>
      </w:r>
      <w:r w:rsidRPr="00AD6F75">
        <w:t>a</w:t>
      </w:r>
      <w:r w:rsidRPr="00AD6F75">
        <w:t>len und internationalen Förderprogrammen</w:t>
      </w:r>
      <w:r>
        <w:t>.</w:t>
      </w:r>
    </w:p>
    <w:p w:rsidR="002006DA" w:rsidRDefault="002006DA" w:rsidP="002006DA">
      <w:pPr>
        <w:spacing w:before="120" w:after="120"/>
        <w:jc w:val="both"/>
        <w:rPr>
          <w:rFonts w:eastAsia="Times New Roman"/>
        </w:rPr>
      </w:pPr>
      <w:r>
        <w:rPr>
          <w:rFonts w:eastAsia="Times New Roman"/>
        </w:rPr>
        <w:t>Im Rahmen seiner Möglichkeiten unterstützt das MW die Maßnahmen der Universität durch den Ei</w:t>
      </w:r>
      <w:r>
        <w:rPr>
          <w:rFonts w:eastAsia="Times New Roman"/>
        </w:rPr>
        <w:t>n</w:t>
      </w:r>
      <w:r>
        <w:rPr>
          <w:rFonts w:eastAsia="Times New Roman"/>
        </w:rPr>
        <w:t>satz von EU-Strukturfondmitteln.</w:t>
      </w:r>
    </w:p>
    <w:p w:rsidR="002006DA" w:rsidRDefault="002006DA" w:rsidP="002006DA">
      <w:pPr>
        <w:spacing w:before="120" w:after="120"/>
        <w:jc w:val="both"/>
        <w:rPr>
          <w:rFonts w:eastAsia="Times New Roman"/>
        </w:rPr>
      </w:pPr>
      <w:r>
        <w:rPr>
          <w:rFonts w:eastAsia="Times New Roman"/>
        </w:rPr>
        <w:t xml:space="preserve">(17) Die Internationalisierungsstrategie wird durch die Universität im Jahr </w:t>
      </w:r>
      <w:r w:rsidRPr="00B638A3">
        <w:rPr>
          <w:rFonts w:eastAsia="Times New Roman"/>
        </w:rPr>
        <w:t>2016</w:t>
      </w:r>
      <w:r>
        <w:rPr>
          <w:rFonts w:eastAsia="Times New Roman"/>
        </w:rPr>
        <w:t xml:space="preserve"> aktualisiert und fortg</w:t>
      </w:r>
      <w:r>
        <w:rPr>
          <w:rFonts w:eastAsia="Times New Roman"/>
        </w:rPr>
        <w:t>e</w:t>
      </w:r>
      <w:r>
        <w:rPr>
          <w:rFonts w:eastAsia="Times New Roman"/>
        </w:rPr>
        <w:t>schrieben. Dabei wird überprüft, inwieweit ein strukturierter Austausch mit ausländischen Partne</w:t>
      </w:r>
      <w:r>
        <w:rPr>
          <w:rFonts w:eastAsia="Times New Roman"/>
        </w:rPr>
        <w:t>r</w:t>
      </w:r>
      <w:r>
        <w:rPr>
          <w:rFonts w:eastAsia="Times New Roman"/>
        </w:rPr>
        <w:t>hochschulen realisiert werden kann. Das MW unterstützt die Hochschule bei ihren Bemühungen.</w:t>
      </w:r>
    </w:p>
    <w:p w:rsidR="002006DA" w:rsidRDefault="002006DA" w:rsidP="002006DA">
      <w:pPr>
        <w:spacing w:before="120" w:after="120"/>
        <w:jc w:val="both"/>
        <w:rPr>
          <w:rFonts w:eastAsia="Times New Roman"/>
        </w:rPr>
      </w:pPr>
      <w:r>
        <w:rPr>
          <w:rFonts w:eastAsia="Times New Roman"/>
        </w:rPr>
        <w:t>(18</w:t>
      </w:r>
      <w:r w:rsidRPr="00EA1A6E">
        <w:rPr>
          <w:rFonts w:eastAsia="Times New Roman"/>
        </w:rPr>
        <w:t>)</w:t>
      </w:r>
      <w:r>
        <w:rPr>
          <w:rFonts w:eastAsia="Times New Roman"/>
        </w:rPr>
        <w:t xml:space="preserve"> Die Universität beteiligt sich an einem Pilotprojekt zum hochschulübergreifenden Berichtswesen.</w:t>
      </w:r>
    </w:p>
    <w:p w:rsidR="005121AB" w:rsidRPr="00FB66B8" w:rsidRDefault="005121AB" w:rsidP="00BA43C6">
      <w:pPr>
        <w:pStyle w:val="berschrift3"/>
        <w:numPr>
          <w:ilvl w:val="0"/>
          <w:numId w:val="6"/>
        </w:numPr>
        <w:spacing w:before="600"/>
        <w:ind w:hanging="720"/>
        <w:jc w:val="both"/>
        <w:rPr>
          <w:caps/>
          <w:szCs w:val="24"/>
        </w:rPr>
      </w:pPr>
      <w:r w:rsidRPr="00FB66B8">
        <w:rPr>
          <w:caps/>
          <w:szCs w:val="24"/>
        </w:rPr>
        <w:t>Finanzausstattung</w:t>
      </w:r>
    </w:p>
    <w:p w:rsidR="00B602E9" w:rsidRPr="00FB66B8" w:rsidRDefault="00B602E9" w:rsidP="00B602E9">
      <w:pPr>
        <w:keepNext/>
        <w:widowControl w:val="0"/>
        <w:autoSpaceDE w:val="0"/>
        <w:autoSpaceDN w:val="0"/>
        <w:adjustRightInd w:val="0"/>
        <w:spacing w:before="360" w:after="120"/>
        <w:outlineLvl w:val="2"/>
        <w:rPr>
          <w:rFonts w:eastAsia="Times New Roman"/>
          <w:bCs/>
        </w:rPr>
      </w:pPr>
      <w:r w:rsidRPr="00FB66B8">
        <w:rPr>
          <w:rFonts w:eastAsia="Times New Roman"/>
          <w:bCs/>
        </w:rPr>
        <w:t xml:space="preserve">B.1 </w:t>
      </w:r>
      <w:r w:rsidRPr="00FB66B8">
        <w:rPr>
          <w:rFonts w:eastAsia="Times New Roman"/>
          <w:bCs/>
        </w:rPr>
        <w:tab/>
        <w:t>Finanzausstattung und Aufteilung der Budgets</w:t>
      </w:r>
    </w:p>
    <w:p w:rsidR="003C0E7A" w:rsidRPr="003C0E7A" w:rsidRDefault="003C0E7A" w:rsidP="003C0E7A">
      <w:pPr>
        <w:spacing w:before="120" w:after="120"/>
        <w:jc w:val="both"/>
        <w:rPr>
          <w:rFonts w:eastAsia="Times New Roman"/>
        </w:rPr>
      </w:pPr>
      <w:r>
        <w:t>(</w:t>
      </w:r>
      <w:r w:rsidRPr="003C0E7A">
        <w:rPr>
          <w:rFonts w:eastAsia="Times New Roman"/>
        </w:rPr>
        <w:t>1) Das Land und die Hochschulen Sachsen-Anhalts verfolgen das Ziel der Planungssicherheit. Das Land Sachsen-Anhalt verpflichtet sich daher auf Grundlage der Bernburger Erklärung des Ministe</w:t>
      </w:r>
      <w:r w:rsidRPr="003C0E7A">
        <w:rPr>
          <w:rFonts w:eastAsia="Times New Roman"/>
        </w:rPr>
        <w:t>r</w:t>
      </w:r>
      <w:r w:rsidRPr="003C0E7A">
        <w:rPr>
          <w:rFonts w:eastAsia="Times New Roman"/>
        </w:rPr>
        <w:t xml:space="preserve">präsidenten Sachsen-Anhalts und der Rektoren der Hochschulen Sachsen-Anhalts vom </w:t>
      </w:r>
      <w:r w:rsidRPr="003C0E7A">
        <w:rPr>
          <w:rFonts w:eastAsia="Times New Roman"/>
        </w:rPr>
        <w:lastRenderedPageBreak/>
        <w:t>29. November 2013 sowie der in der Zielvereinbarung vereinbarten Regelungen, der Hochschule für die vereinbarte Laufzeit der Zielvereinbarung mindestens folgenden Zuschuss zu gewähren:</w:t>
      </w:r>
    </w:p>
    <w:p w:rsidR="003C0E7A" w:rsidRPr="003C0E7A" w:rsidRDefault="003C0E7A" w:rsidP="003C0E7A">
      <w:pPr>
        <w:spacing w:before="120" w:after="120"/>
        <w:jc w:val="both"/>
        <w:rPr>
          <w:rFonts w:eastAsia="Times New Roman"/>
        </w:rPr>
      </w:pPr>
    </w:p>
    <w:p w:rsidR="003C0E7A" w:rsidRPr="0095372F" w:rsidRDefault="003C0E7A" w:rsidP="003C0E7A">
      <w:pPr>
        <w:spacing w:after="60"/>
        <w:ind w:left="708"/>
        <w:jc w:val="both"/>
      </w:pPr>
      <w:r w:rsidRPr="0095372F">
        <w:t>Haushaltsjahr 2015:</w:t>
      </w:r>
      <w:r w:rsidRPr="0095372F">
        <w:tab/>
      </w:r>
      <w:r w:rsidRPr="0095372F">
        <w:tab/>
        <w:t xml:space="preserve">insgesamt </w:t>
      </w:r>
      <w:r>
        <w:t xml:space="preserve">84.033.400 </w:t>
      </w:r>
      <w:r w:rsidRPr="0095372F">
        <w:t>€</w:t>
      </w:r>
    </w:p>
    <w:p w:rsidR="003C0E7A" w:rsidRPr="007315BD" w:rsidRDefault="003C0E7A" w:rsidP="003C0E7A">
      <w:pPr>
        <w:spacing w:after="60"/>
        <w:ind w:left="708"/>
        <w:jc w:val="both"/>
      </w:pPr>
      <w:r w:rsidRPr="0095372F">
        <w:t>Haushaltsjahr 2016:</w:t>
      </w:r>
      <w:r w:rsidRPr="0095372F">
        <w:tab/>
      </w:r>
      <w:r w:rsidRPr="0095372F">
        <w:tab/>
        <w:t xml:space="preserve">insgesamt </w:t>
      </w:r>
      <w:r>
        <w:t xml:space="preserve">84.033.400 </w:t>
      </w:r>
      <w:r w:rsidRPr="007315BD">
        <w:t>€</w:t>
      </w:r>
    </w:p>
    <w:p w:rsidR="003C0E7A" w:rsidRPr="007315BD" w:rsidRDefault="003C0E7A" w:rsidP="003C0E7A">
      <w:pPr>
        <w:spacing w:after="60"/>
        <w:ind w:left="708"/>
        <w:jc w:val="both"/>
      </w:pPr>
      <w:r w:rsidRPr="007315BD">
        <w:t>Haushaltsjahr 2017:</w:t>
      </w:r>
      <w:r w:rsidRPr="007315BD">
        <w:tab/>
      </w:r>
      <w:r w:rsidRPr="007315BD">
        <w:tab/>
        <w:t xml:space="preserve">insgesamt </w:t>
      </w:r>
      <w:r>
        <w:t xml:space="preserve">84.033.400 </w:t>
      </w:r>
      <w:r w:rsidRPr="007315BD">
        <w:t>€</w:t>
      </w:r>
    </w:p>
    <w:p w:rsidR="003C0E7A" w:rsidRPr="007315BD" w:rsidRDefault="003C0E7A" w:rsidP="003C0E7A">
      <w:pPr>
        <w:spacing w:after="60"/>
        <w:ind w:left="708"/>
        <w:jc w:val="both"/>
      </w:pPr>
      <w:r w:rsidRPr="007315BD">
        <w:t>Haushaltsjahr 2018:</w:t>
      </w:r>
      <w:r w:rsidRPr="007315BD">
        <w:tab/>
      </w:r>
      <w:r w:rsidRPr="007315BD">
        <w:tab/>
        <w:t xml:space="preserve">insgesamt </w:t>
      </w:r>
      <w:r>
        <w:t xml:space="preserve">84.033.400 </w:t>
      </w:r>
      <w:r w:rsidRPr="007315BD">
        <w:t>€</w:t>
      </w:r>
    </w:p>
    <w:p w:rsidR="003C0E7A" w:rsidRPr="0095372F" w:rsidRDefault="003C0E7A" w:rsidP="003C0E7A">
      <w:pPr>
        <w:spacing w:after="60"/>
        <w:ind w:left="708"/>
        <w:jc w:val="both"/>
      </w:pPr>
      <w:r w:rsidRPr="007315BD">
        <w:t>Haushaltsjahr 2019:</w:t>
      </w:r>
      <w:r w:rsidRPr="007315BD">
        <w:tab/>
      </w:r>
      <w:r w:rsidRPr="007315BD">
        <w:tab/>
        <w:t xml:space="preserve">insgesamt </w:t>
      </w:r>
      <w:r>
        <w:t xml:space="preserve">84.033.400 </w:t>
      </w:r>
      <w:r w:rsidRPr="0095372F">
        <w:t>€</w:t>
      </w:r>
    </w:p>
    <w:p w:rsidR="003C0E7A" w:rsidRPr="003C0E7A" w:rsidRDefault="003C0E7A" w:rsidP="003C0E7A">
      <w:pPr>
        <w:spacing w:before="120" w:after="120"/>
        <w:jc w:val="both"/>
        <w:rPr>
          <w:rFonts w:eastAsia="Times New Roman"/>
        </w:rPr>
      </w:pPr>
    </w:p>
    <w:p w:rsidR="003C0E7A" w:rsidRPr="003C0E7A" w:rsidRDefault="003C0E7A" w:rsidP="003C0E7A">
      <w:pPr>
        <w:spacing w:before="120" w:after="120"/>
        <w:jc w:val="both"/>
        <w:rPr>
          <w:rFonts w:eastAsia="Times New Roman"/>
        </w:rPr>
      </w:pPr>
      <w:r w:rsidRPr="003C0E7A">
        <w:rPr>
          <w:rFonts w:eastAsia="Times New Roman"/>
        </w:rPr>
        <w:t xml:space="preserve">(2) Der Landeszuschuss enthält </w:t>
      </w:r>
      <w:commentRangeStart w:id="18"/>
      <w:r w:rsidRPr="003C0E7A">
        <w:rPr>
          <w:rFonts w:eastAsia="Times New Roman"/>
        </w:rPr>
        <w:t>90%</w:t>
      </w:r>
      <w:commentRangeEnd w:id="18"/>
      <w:r w:rsidR="00EE3203">
        <w:rPr>
          <w:rStyle w:val="Kommentarzeichen"/>
        </w:rPr>
        <w:commentReference w:id="18"/>
      </w:r>
      <w:r w:rsidRPr="003C0E7A">
        <w:rPr>
          <w:rFonts w:eastAsia="Times New Roman"/>
        </w:rPr>
        <w:t xml:space="preserve"> des Mehrbedarfs aus den bisherigen Tarif- und Besoldungsru</w:t>
      </w:r>
      <w:r w:rsidRPr="003C0E7A">
        <w:rPr>
          <w:rFonts w:eastAsia="Times New Roman"/>
        </w:rPr>
        <w:t>n</w:t>
      </w:r>
      <w:r w:rsidRPr="003C0E7A">
        <w:rPr>
          <w:rFonts w:eastAsia="Times New Roman"/>
        </w:rPr>
        <w:t>den. Für künftige Besoldungs- und Tarifsteigerungen werden für den vereinbarten Zeitraum der Zie</w:t>
      </w:r>
      <w:r w:rsidRPr="003C0E7A">
        <w:rPr>
          <w:rFonts w:eastAsia="Times New Roman"/>
        </w:rPr>
        <w:t>l</w:t>
      </w:r>
      <w:r w:rsidRPr="003C0E7A">
        <w:rPr>
          <w:rFonts w:eastAsia="Times New Roman"/>
        </w:rPr>
        <w:t>vereinbarung Landesmittel aus dem Einzelplan 06 und bei Bedarf ergänzend aus dem allgemeinen Haushalt (Einzelplan 13) auf der Grundlage nachgewiesener Bedarfe in Höhe von 90% des Mehrb</w:t>
      </w:r>
      <w:r w:rsidRPr="003C0E7A">
        <w:rPr>
          <w:rFonts w:eastAsia="Times New Roman"/>
        </w:rPr>
        <w:t>e</w:t>
      </w:r>
      <w:r w:rsidRPr="003C0E7A">
        <w:rPr>
          <w:rFonts w:eastAsia="Times New Roman"/>
        </w:rPr>
        <w:t>darfs bereitgestellt. Ab 2015 stehen diese budgeterhöhenden Mittel unter dem Vorbehalt der entspr</w:t>
      </w:r>
      <w:r w:rsidRPr="003C0E7A">
        <w:rPr>
          <w:rFonts w:eastAsia="Times New Roman"/>
        </w:rPr>
        <w:t>e</w:t>
      </w:r>
      <w:r w:rsidRPr="003C0E7A">
        <w:rPr>
          <w:rFonts w:eastAsia="Times New Roman"/>
        </w:rPr>
        <w:t>chenden Beschlussfassung des Landtags von Sachsen-Anhalt. Budgeterhöhende Maßnahmen in der laufenden Zielvereinbarungsperiode (z. B. Änderungen gesetzlicher und tariflicher Verpflichtungen) haben eine Neuberechnung des Budgets im Rahmen der nächsten Haushaltsplanaufstellung zur Fo</w:t>
      </w:r>
      <w:r w:rsidRPr="003C0E7A">
        <w:rPr>
          <w:rFonts w:eastAsia="Times New Roman"/>
        </w:rPr>
        <w:t>l</w:t>
      </w:r>
      <w:r w:rsidRPr="003C0E7A">
        <w:rPr>
          <w:rFonts w:eastAsia="Times New Roman"/>
        </w:rPr>
        <w:t>ge.</w:t>
      </w:r>
    </w:p>
    <w:p w:rsidR="003C0E7A" w:rsidRPr="003C0E7A" w:rsidRDefault="003C0E7A" w:rsidP="003C0E7A">
      <w:pPr>
        <w:spacing w:before="120" w:after="120"/>
        <w:jc w:val="both"/>
        <w:rPr>
          <w:rFonts w:eastAsia="Times New Roman"/>
        </w:rPr>
      </w:pPr>
      <w:r w:rsidRPr="003C0E7A">
        <w:rPr>
          <w:rFonts w:eastAsia="Times New Roman"/>
        </w:rPr>
        <w:t>(3) Hieraus ergibt sich derzeit ohne Berücksichtigung sonstiger budgeterhöhender Zuführungen für die Jahre 2015 bis 2019 folgende Aufteilung des Budgets:</w:t>
      </w:r>
    </w:p>
    <w:p w:rsidR="003C0E7A" w:rsidRPr="00E4206F" w:rsidRDefault="003C0E7A" w:rsidP="003C0E7A">
      <w:pPr>
        <w:spacing w:before="120" w:after="120"/>
        <w:jc w:val="both"/>
        <w:rPr>
          <w:rFonts w:eastAsia="Times New Roman"/>
        </w:rPr>
      </w:pPr>
    </w:p>
    <w:tbl>
      <w:tblPr>
        <w:tblW w:w="7197" w:type="dxa"/>
        <w:tblInd w:w="708" w:type="dxa"/>
        <w:tblLook w:val="0000" w:firstRow="0" w:lastRow="0" w:firstColumn="0" w:lastColumn="0" w:noHBand="0" w:noVBand="0"/>
      </w:tblPr>
      <w:tblGrid>
        <w:gridCol w:w="1539"/>
        <w:gridCol w:w="2608"/>
        <w:gridCol w:w="3050"/>
      </w:tblGrid>
      <w:tr w:rsidR="003C0E7A" w:rsidRPr="00E4206F" w:rsidTr="007917EC">
        <w:trPr>
          <w:trHeight w:val="303"/>
        </w:trPr>
        <w:tc>
          <w:tcPr>
            <w:tcW w:w="1539" w:type="dxa"/>
          </w:tcPr>
          <w:p w:rsidR="003C0E7A" w:rsidRPr="00E4206F" w:rsidRDefault="003C0E7A" w:rsidP="007917EC">
            <w:pPr>
              <w:jc w:val="center"/>
              <w:rPr>
                <w:b/>
              </w:rPr>
            </w:pPr>
            <w:r>
              <w:rPr>
                <w:b/>
              </w:rPr>
              <w:t>Haushaltsj</w:t>
            </w:r>
            <w:r w:rsidRPr="00E4206F">
              <w:rPr>
                <w:b/>
              </w:rPr>
              <w:t>ahr</w:t>
            </w:r>
          </w:p>
        </w:tc>
        <w:tc>
          <w:tcPr>
            <w:tcW w:w="5658" w:type="dxa"/>
            <w:gridSpan w:val="2"/>
          </w:tcPr>
          <w:p w:rsidR="003C0E7A" w:rsidRPr="00E4206F" w:rsidRDefault="003C0E7A" w:rsidP="007917EC">
            <w:pPr>
              <w:jc w:val="center"/>
              <w:rPr>
                <w:b/>
              </w:rPr>
            </w:pPr>
            <w:r w:rsidRPr="00E4206F">
              <w:rPr>
                <w:b/>
              </w:rPr>
              <w:t>Budget</w:t>
            </w:r>
          </w:p>
        </w:tc>
      </w:tr>
      <w:tr w:rsidR="003C0E7A" w:rsidRPr="00E4206F" w:rsidTr="007917EC">
        <w:trPr>
          <w:trHeight w:val="222"/>
        </w:trPr>
        <w:tc>
          <w:tcPr>
            <w:tcW w:w="1539" w:type="dxa"/>
            <w:tcBorders>
              <w:bottom w:val="nil"/>
            </w:tcBorders>
          </w:tcPr>
          <w:p w:rsidR="003C0E7A" w:rsidRPr="00E4206F" w:rsidRDefault="003C0E7A" w:rsidP="007917EC">
            <w:pPr>
              <w:spacing w:after="60"/>
              <w:jc w:val="center"/>
            </w:pPr>
          </w:p>
        </w:tc>
        <w:tc>
          <w:tcPr>
            <w:tcW w:w="2608" w:type="dxa"/>
            <w:tcBorders>
              <w:bottom w:val="nil"/>
            </w:tcBorders>
          </w:tcPr>
          <w:p w:rsidR="003C0E7A" w:rsidRPr="00E4206F" w:rsidRDefault="003C0E7A" w:rsidP="007917EC">
            <w:pPr>
              <w:spacing w:after="120"/>
              <w:jc w:val="center"/>
            </w:pPr>
            <w:r w:rsidRPr="00E4206F">
              <w:t>Zuschuss Betrieb</w:t>
            </w:r>
          </w:p>
        </w:tc>
        <w:tc>
          <w:tcPr>
            <w:tcW w:w="3050" w:type="dxa"/>
            <w:tcBorders>
              <w:bottom w:val="nil"/>
            </w:tcBorders>
          </w:tcPr>
          <w:p w:rsidR="003C0E7A" w:rsidRPr="00E4206F" w:rsidRDefault="003C0E7A" w:rsidP="007917EC">
            <w:pPr>
              <w:spacing w:after="120"/>
              <w:jc w:val="center"/>
            </w:pPr>
            <w:r w:rsidRPr="00E4206F">
              <w:t xml:space="preserve">Zuschuss </w:t>
            </w:r>
            <w:proofErr w:type="spellStart"/>
            <w:r w:rsidRPr="00E4206F">
              <w:t>Invest</w:t>
            </w:r>
            <w:proofErr w:type="spellEnd"/>
          </w:p>
        </w:tc>
      </w:tr>
      <w:tr w:rsidR="003C0E7A" w:rsidRPr="00E4206F" w:rsidTr="007917EC">
        <w:trPr>
          <w:trHeight w:val="154"/>
        </w:trPr>
        <w:tc>
          <w:tcPr>
            <w:tcW w:w="1539" w:type="dxa"/>
          </w:tcPr>
          <w:p w:rsidR="003C0E7A" w:rsidRPr="00E4206F" w:rsidRDefault="003C0E7A" w:rsidP="007917EC">
            <w:pPr>
              <w:spacing w:after="60"/>
              <w:jc w:val="center"/>
            </w:pPr>
            <w:r w:rsidRPr="00E4206F">
              <w:t>2015</w:t>
            </w:r>
          </w:p>
        </w:tc>
        <w:tc>
          <w:tcPr>
            <w:tcW w:w="2608" w:type="dxa"/>
          </w:tcPr>
          <w:p w:rsidR="003C0E7A" w:rsidRPr="00E4206F" w:rsidRDefault="003C0E7A" w:rsidP="007917EC">
            <w:pPr>
              <w:spacing w:after="60"/>
              <w:jc w:val="center"/>
            </w:pPr>
            <w:r w:rsidRPr="005A7DE9">
              <w:t>82</w:t>
            </w:r>
            <w:r>
              <w:t>.</w:t>
            </w:r>
            <w:r w:rsidRPr="005A7DE9">
              <w:t>033</w:t>
            </w:r>
            <w:r>
              <w:t>.</w:t>
            </w:r>
            <w:r w:rsidRPr="005A7DE9">
              <w:t>400</w:t>
            </w:r>
            <w:r>
              <w:t xml:space="preserve"> </w:t>
            </w:r>
            <w:r w:rsidRPr="003D38DC">
              <w:t>€</w:t>
            </w:r>
          </w:p>
        </w:tc>
        <w:tc>
          <w:tcPr>
            <w:tcW w:w="3050" w:type="dxa"/>
          </w:tcPr>
          <w:p w:rsidR="003C0E7A" w:rsidRPr="00E4206F" w:rsidRDefault="003C0E7A" w:rsidP="007917EC">
            <w:pPr>
              <w:spacing w:after="60"/>
              <w:jc w:val="center"/>
            </w:pPr>
            <w:r>
              <w:t xml:space="preserve">2.000.000 </w:t>
            </w:r>
            <w:r w:rsidRPr="003D38DC">
              <w:t>€</w:t>
            </w:r>
          </w:p>
        </w:tc>
      </w:tr>
      <w:tr w:rsidR="003C0E7A" w:rsidRPr="00E4206F" w:rsidTr="007917EC">
        <w:trPr>
          <w:trHeight w:val="230"/>
        </w:trPr>
        <w:tc>
          <w:tcPr>
            <w:tcW w:w="1539" w:type="dxa"/>
          </w:tcPr>
          <w:p w:rsidR="003C0E7A" w:rsidRPr="00E4206F" w:rsidRDefault="003C0E7A" w:rsidP="007917EC">
            <w:pPr>
              <w:spacing w:after="60"/>
              <w:jc w:val="center"/>
            </w:pPr>
            <w:r>
              <w:t>2016</w:t>
            </w:r>
          </w:p>
        </w:tc>
        <w:tc>
          <w:tcPr>
            <w:tcW w:w="2608" w:type="dxa"/>
          </w:tcPr>
          <w:p w:rsidR="003C0E7A" w:rsidRPr="00E4206F" w:rsidRDefault="003C0E7A" w:rsidP="007917EC">
            <w:pPr>
              <w:spacing w:after="60"/>
              <w:jc w:val="center"/>
            </w:pPr>
            <w:r w:rsidRPr="005A7DE9">
              <w:t>82</w:t>
            </w:r>
            <w:r>
              <w:t>.</w:t>
            </w:r>
            <w:r w:rsidRPr="005A7DE9">
              <w:t>033</w:t>
            </w:r>
            <w:r>
              <w:t>.</w:t>
            </w:r>
            <w:r w:rsidRPr="005A7DE9">
              <w:t>400</w:t>
            </w:r>
            <w:r>
              <w:t xml:space="preserve"> </w:t>
            </w:r>
            <w:r w:rsidRPr="003D38DC">
              <w:t>€</w:t>
            </w:r>
          </w:p>
        </w:tc>
        <w:tc>
          <w:tcPr>
            <w:tcW w:w="3050" w:type="dxa"/>
          </w:tcPr>
          <w:p w:rsidR="003C0E7A" w:rsidRPr="00E4206F" w:rsidRDefault="003C0E7A" w:rsidP="007917EC">
            <w:pPr>
              <w:spacing w:after="60"/>
              <w:jc w:val="center"/>
            </w:pPr>
            <w:r>
              <w:t xml:space="preserve">2.000.000 </w:t>
            </w:r>
            <w:r w:rsidRPr="003D38DC">
              <w:t>€</w:t>
            </w:r>
          </w:p>
        </w:tc>
      </w:tr>
      <w:tr w:rsidR="003C0E7A" w:rsidRPr="00E4206F" w:rsidTr="007917EC">
        <w:trPr>
          <w:trHeight w:val="213"/>
        </w:trPr>
        <w:tc>
          <w:tcPr>
            <w:tcW w:w="1539" w:type="dxa"/>
          </w:tcPr>
          <w:p w:rsidR="003C0E7A" w:rsidRPr="00E4206F" w:rsidRDefault="003C0E7A" w:rsidP="007917EC">
            <w:pPr>
              <w:spacing w:after="60"/>
              <w:jc w:val="center"/>
            </w:pPr>
            <w:r>
              <w:t>2017</w:t>
            </w:r>
          </w:p>
        </w:tc>
        <w:tc>
          <w:tcPr>
            <w:tcW w:w="2608" w:type="dxa"/>
          </w:tcPr>
          <w:p w:rsidR="003C0E7A" w:rsidRPr="00E4206F" w:rsidRDefault="003C0E7A" w:rsidP="007917EC">
            <w:pPr>
              <w:spacing w:after="60"/>
              <w:jc w:val="center"/>
            </w:pPr>
            <w:r w:rsidRPr="005A7DE9">
              <w:t>82</w:t>
            </w:r>
            <w:r>
              <w:t>.</w:t>
            </w:r>
            <w:r w:rsidRPr="005A7DE9">
              <w:t>033</w:t>
            </w:r>
            <w:r>
              <w:t>.</w:t>
            </w:r>
            <w:r w:rsidRPr="005A7DE9">
              <w:t>400</w:t>
            </w:r>
            <w:r>
              <w:t xml:space="preserve"> </w:t>
            </w:r>
            <w:r w:rsidRPr="003D38DC">
              <w:t>€</w:t>
            </w:r>
          </w:p>
        </w:tc>
        <w:tc>
          <w:tcPr>
            <w:tcW w:w="3050" w:type="dxa"/>
          </w:tcPr>
          <w:p w:rsidR="003C0E7A" w:rsidRPr="00E4206F" w:rsidRDefault="003C0E7A" w:rsidP="007917EC">
            <w:pPr>
              <w:spacing w:after="60"/>
              <w:jc w:val="center"/>
            </w:pPr>
            <w:r>
              <w:t xml:space="preserve">2.000.000 </w:t>
            </w:r>
            <w:r w:rsidRPr="003D38DC">
              <w:t>€</w:t>
            </w:r>
          </w:p>
        </w:tc>
      </w:tr>
      <w:tr w:rsidR="003C0E7A" w:rsidRPr="00E4206F" w:rsidTr="007917EC">
        <w:trPr>
          <w:trHeight w:val="230"/>
        </w:trPr>
        <w:tc>
          <w:tcPr>
            <w:tcW w:w="1539" w:type="dxa"/>
          </w:tcPr>
          <w:p w:rsidR="003C0E7A" w:rsidRPr="00E4206F" w:rsidRDefault="003C0E7A" w:rsidP="007917EC">
            <w:pPr>
              <w:spacing w:after="60"/>
              <w:jc w:val="center"/>
            </w:pPr>
            <w:r>
              <w:t>2018</w:t>
            </w:r>
          </w:p>
        </w:tc>
        <w:tc>
          <w:tcPr>
            <w:tcW w:w="2608" w:type="dxa"/>
          </w:tcPr>
          <w:p w:rsidR="003C0E7A" w:rsidRPr="00E4206F" w:rsidRDefault="003C0E7A" w:rsidP="007917EC">
            <w:pPr>
              <w:spacing w:after="60"/>
              <w:jc w:val="center"/>
            </w:pPr>
            <w:r w:rsidRPr="005A7DE9">
              <w:t>82</w:t>
            </w:r>
            <w:r>
              <w:t>.</w:t>
            </w:r>
            <w:r w:rsidRPr="005A7DE9">
              <w:t>033</w:t>
            </w:r>
            <w:r>
              <w:t>.</w:t>
            </w:r>
            <w:r w:rsidRPr="005A7DE9">
              <w:t>400</w:t>
            </w:r>
            <w:r>
              <w:t xml:space="preserve"> </w:t>
            </w:r>
            <w:r w:rsidRPr="003D38DC">
              <w:t>€</w:t>
            </w:r>
          </w:p>
        </w:tc>
        <w:tc>
          <w:tcPr>
            <w:tcW w:w="3050" w:type="dxa"/>
          </w:tcPr>
          <w:p w:rsidR="003C0E7A" w:rsidRPr="00E4206F" w:rsidRDefault="003C0E7A" w:rsidP="007917EC">
            <w:pPr>
              <w:spacing w:after="60"/>
              <w:jc w:val="center"/>
            </w:pPr>
            <w:r>
              <w:t xml:space="preserve">2.000.000 </w:t>
            </w:r>
            <w:r w:rsidRPr="003D38DC">
              <w:t>€</w:t>
            </w:r>
          </w:p>
        </w:tc>
      </w:tr>
      <w:tr w:rsidR="003C0E7A" w:rsidRPr="00E4206F" w:rsidTr="007917EC">
        <w:trPr>
          <w:trHeight w:val="139"/>
        </w:trPr>
        <w:tc>
          <w:tcPr>
            <w:tcW w:w="1539" w:type="dxa"/>
          </w:tcPr>
          <w:p w:rsidR="003C0E7A" w:rsidRPr="00E4206F" w:rsidRDefault="003C0E7A" w:rsidP="007917EC">
            <w:pPr>
              <w:spacing w:after="60"/>
              <w:jc w:val="center"/>
            </w:pPr>
            <w:r w:rsidRPr="00E4206F">
              <w:t>201</w:t>
            </w:r>
            <w:r>
              <w:t>9</w:t>
            </w:r>
          </w:p>
        </w:tc>
        <w:tc>
          <w:tcPr>
            <w:tcW w:w="2608" w:type="dxa"/>
          </w:tcPr>
          <w:p w:rsidR="003C0E7A" w:rsidRPr="00E4206F" w:rsidRDefault="003C0E7A" w:rsidP="007917EC">
            <w:pPr>
              <w:spacing w:after="60"/>
              <w:jc w:val="center"/>
            </w:pPr>
            <w:r w:rsidRPr="005A7DE9">
              <w:t>82</w:t>
            </w:r>
            <w:r>
              <w:t>.</w:t>
            </w:r>
            <w:r w:rsidRPr="005A7DE9">
              <w:t>033</w:t>
            </w:r>
            <w:r>
              <w:t>.</w:t>
            </w:r>
            <w:r w:rsidRPr="005A7DE9">
              <w:t>400</w:t>
            </w:r>
            <w:r>
              <w:t xml:space="preserve"> </w:t>
            </w:r>
            <w:r w:rsidRPr="003D38DC">
              <w:t>€</w:t>
            </w:r>
          </w:p>
        </w:tc>
        <w:tc>
          <w:tcPr>
            <w:tcW w:w="3050" w:type="dxa"/>
          </w:tcPr>
          <w:p w:rsidR="003C0E7A" w:rsidRPr="00E4206F" w:rsidRDefault="003C0E7A" w:rsidP="007917EC">
            <w:pPr>
              <w:spacing w:after="60"/>
              <w:jc w:val="center"/>
            </w:pPr>
            <w:r>
              <w:t xml:space="preserve">2.000.000 </w:t>
            </w:r>
            <w:r w:rsidRPr="003D38DC">
              <w:t>€</w:t>
            </w:r>
          </w:p>
        </w:tc>
      </w:tr>
    </w:tbl>
    <w:p w:rsidR="003C0E7A" w:rsidRPr="003C0E7A" w:rsidRDefault="003C0E7A" w:rsidP="003C0E7A">
      <w:pPr>
        <w:spacing w:before="120" w:after="120"/>
        <w:jc w:val="both"/>
        <w:rPr>
          <w:rFonts w:eastAsia="Times New Roman"/>
        </w:rPr>
      </w:pPr>
    </w:p>
    <w:p w:rsidR="003C0E7A" w:rsidRPr="003C0E7A" w:rsidRDefault="003C0E7A" w:rsidP="003C0E7A">
      <w:pPr>
        <w:spacing w:before="120" w:after="120"/>
        <w:jc w:val="both"/>
        <w:rPr>
          <w:rFonts w:eastAsia="Times New Roman"/>
        </w:rPr>
      </w:pPr>
      <w:r w:rsidRPr="003C0E7A">
        <w:rPr>
          <w:rFonts w:eastAsia="Times New Roman"/>
        </w:rPr>
        <w:t>(4) Von haushaltswirtschaftlichen Maßnahmen gemäß § 41 LHO und sonstigen vom Ministerium der Finanzen erlassenen haushaltswirtschaftlichen Beschränkungen, soweit sie für den übrigen Bereich des Landeshaushalts allgemein in Kraft treten, ist die Hochschule befreit.</w:t>
      </w:r>
    </w:p>
    <w:p w:rsidR="003C0E7A" w:rsidRPr="003C0E7A" w:rsidRDefault="003C0E7A" w:rsidP="003C0E7A">
      <w:pPr>
        <w:spacing w:before="120" w:after="120"/>
        <w:jc w:val="both"/>
        <w:rPr>
          <w:rFonts w:eastAsia="Times New Roman"/>
        </w:rPr>
      </w:pPr>
      <w:r w:rsidRPr="003C0E7A">
        <w:rPr>
          <w:rFonts w:eastAsia="Times New Roman"/>
        </w:rPr>
        <w:t>(5) Ab 2017 ist die Zahlbarmachung von Leistungen nach den § 10 Abs. 2 bis 4 und § 11 TVA-L BBiG an die Auszubildenden aus dem Hochschulhaushalt vorzunehmen. Auf der Grundlage der hierzu vo</w:t>
      </w:r>
      <w:r w:rsidRPr="003C0E7A">
        <w:rPr>
          <w:rFonts w:eastAsia="Times New Roman"/>
        </w:rPr>
        <w:t>r</w:t>
      </w:r>
      <w:r w:rsidRPr="003C0E7A">
        <w:rPr>
          <w:rFonts w:eastAsia="Times New Roman"/>
        </w:rPr>
        <w:t>liegenden Ist-Ausgaben der Jahre 2011 bis 2015 wird im Jahr 2016 ein Durchschnittswert für die Hochschule gebildet, der ab 2017 unter dem Vorbehalt der entsprechenden Beschlussfassung des Landtags von Sachsen-Anhalt budgeterhöhend bereitgestellt und Bestandteil des Gesamtbudgets der Hochschule wird.</w:t>
      </w:r>
    </w:p>
    <w:p w:rsidR="003C0E7A" w:rsidRPr="003C0E7A" w:rsidRDefault="003C0E7A" w:rsidP="003C0E7A">
      <w:pPr>
        <w:spacing w:before="120" w:after="120"/>
        <w:jc w:val="both"/>
        <w:rPr>
          <w:rFonts w:eastAsia="Times New Roman"/>
        </w:rPr>
      </w:pPr>
      <w:r w:rsidRPr="003C0E7A">
        <w:rPr>
          <w:rFonts w:eastAsia="Times New Roman"/>
        </w:rPr>
        <w:t>(6) Es gelten die Veranschlagungs- und Bewirtschaftungsregelungen entsprechend der Anlage 2.</w:t>
      </w:r>
    </w:p>
    <w:p w:rsidR="003C0E7A" w:rsidRPr="00182299" w:rsidRDefault="003C0E7A" w:rsidP="003C0E7A">
      <w:pPr>
        <w:spacing w:before="120" w:after="120"/>
        <w:jc w:val="both"/>
        <w:rPr>
          <w:rFonts w:eastAsia="Times New Roman"/>
        </w:rPr>
      </w:pPr>
      <w:r w:rsidRPr="003C0E7A">
        <w:rPr>
          <w:rFonts w:eastAsia="Times New Roman"/>
        </w:rPr>
        <w:t xml:space="preserve">(7) </w:t>
      </w:r>
      <w:r w:rsidRPr="00EA2469">
        <w:rPr>
          <w:rFonts w:eastAsia="Times New Roman"/>
        </w:rPr>
        <w:t>MW und Hochschule sind sich einig, dass durch nichtstaatliche, von der Hochschule erwirtschaft</w:t>
      </w:r>
      <w:r w:rsidRPr="00EA2469">
        <w:rPr>
          <w:rFonts w:eastAsia="Times New Roman"/>
        </w:rPr>
        <w:t>e</w:t>
      </w:r>
      <w:r w:rsidRPr="00EA2469">
        <w:rPr>
          <w:rFonts w:eastAsia="Times New Roman"/>
        </w:rPr>
        <w:t>te Mittel die Finanzierung des Aufgabenspektrums verbessert werden kann. Diese Mittel verbleiben in der Hochschule und werden nicht zuschussmindernd berücksichtigt.</w:t>
      </w:r>
    </w:p>
    <w:p w:rsidR="00DE47BD" w:rsidRPr="00FB66B8" w:rsidRDefault="00DE47BD" w:rsidP="00312A91">
      <w:pPr>
        <w:pStyle w:val="berschrift3"/>
        <w:spacing w:before="360"/>
        <w:rPr>
          <w:b w:val="0"/>
          <w:sz w:val="22"/>
          <w:szCs w:val="22"/>
        </w:rPr>
      </w:pPr>
      <w:r w:rsidRPr="00FB66B8">
        <w:rPr>
          <w:b w:val="0"/>
          <w:sz w:val="22"/>
          <w:szCs w:val="22"/>
        </w:rPr>
        <w:t>B.</w:t>
      </w:r>
      <w:r w:rsidR="00263669" w:rsidRPr="00FB66B8">
        <w:rPr>
          <w:b w:val="0"/>
          <w:sz w:val="22"/>
          <w:szCs w:val="22"/>
        </w:rPr>
        <w:t>2</w:t>
      </w:r>
      <w:r w:rsidRPr="00FB66B8">
        <w:rPr>
          <w:b w:val="0"/>
          <w:sz w:val="22"/>
          <w:szCs w:val="22"/>
        </w:rPr>
        <w:t xml:space="preserve"> </w:t>
      </w:r>
      <w:r w:rsidRPr="00FB66B8">
        <w:rPr>
          <w:b w:val="0"/>
          <w:sz w:val="22"/>
          <w:szCs w:val="22"/>
        </w:rPr>
        <w:tab/>
        <w:t xml:space="preserve">Finanzmittel des Hochschulpakt 2020 / </w:t>
      </w:r>
      <w:r w:rsidR="00CF5032">
        <w:rPr>
          <w:b w:val="0"/>
          <w:sz w:val="22"/>
          <w:szCs w:val="22"/>
        </w:rPr>
        <w:t>III</w:t>
      </w:r>
      <w:r w:rsidRPr="00FB66B8">
        <w:rPr>
          <w:b w:val="0"/>
          <w:sz w:val="22"/>
          <w:szCs w:val="22"/>
        </w:rPr>
        <w:t>. Phase</w:t>
      </w:r>
    </w:p>
    <w:p w:rsidR="00990E24" w:rsidRPr="00FB66B8" w:rsidRDefault="00D407ED" w:rsidP="0011487E">
      <w:pPr>
        <w:pStyle w:val="Formatvorlage2"/>
        <w:spacing w:before="120" w:after="120"/>
        <w:rPr>
          <w:rFonts w:ascii="Arial" w:hAnsi="Arial"/>
        </w:rPr>
      </w:pPr>
      <w:r w:rsidRPr="00FB66B8">
        <w:rPr>
          <w:rFonts w:ascii="Arial" w:hAnsi="Arial"/>
        </w:rPr>
        <w:t xml:space="preserve">(1) </w:t>
      </w:r>
      <w:r w:rsidR="009B27BF" w:rsidRPr="00FB66B8">
        <w:rPr>
          <w:rFonts w:ascii="Arial" w:hAnsi="Arial"/>
        </w:rPr>
        <w:t xml:space="preserve">Die </w:t>
      </w:r>
      <w:r w:rsidR="008F073B" w:rsidRPr="00FB66B8">
        <w:rPr>
          <w:rFonts w:ascii="Arial" w:hAnsi="Arial"/>
        </w:rPr>
        <w:t xml:space="preserve">Bereitstellung und </w:t>
      </w:r>
      <w:r w:rsidR="009B27BF" w:rsidRPr="00FB66B8">
        <w:rPr>
          <w:rFonts w:ascii="Arial" w:hAnsi="Arial"/>
        </w:rPr>
        <w:t>Verwendung der Mittel des Hochschulpakts 2020 (</w:t>
      </w:r>
      <w:r w:rsidR="006C4958" w:rsidRPr="00FB66B8">
        <w:rPr>
          <w:rFonts w:ascii="Arial" w:hAnsi="Arial"/>
        </w:rPr>
        <w:t>Finanzi</w:t>
      </w:r>
      <w:r w:rsidR="006C4958" w:rsidRPr="00FB66B8">
        <w:rPr>
          <w:rFonts w:ascii="Arial" w:hAnsi="Arial"/>
        </w:rPr>
        <w:t>e</w:t>
      </w:r>
      <w:r w:rsidR="006C4958" w:rsidRPr="00FB66B8">
        <w:rPr>
          <w:rFonts w:ascii="Arial" w:hAnsi="Arial"/>
        </w:rPr>
        <w:t>rung/</w:t>
      </w:r>
      <w:r w:rsidR="00CF5032">
        <w:rPr>
          <w:rFonts w:ascii="Arial" w:hAnsi="Arial"/>
        </w:rPr>
        <w:t>Ausfinanzierung II</w:t>
      </w:r>
      <w:r w:rsidR="009B27BF" w:rsidRPr="00FB66B8">
        <w:rPr>
          <w:rFonts w:ascii="Arial" w:hAnsi="Arial"/>
        </w:rPr>
        <w:t xml:space="preserve">. Phase und Finanzierung </w:t>
      </w:r>
      <w:r w:rsidR="00CF5032">
        <w:rPr>
          <w:rFonts w:ascii="Arial" w:hAnsi="Arial"/>
        </w:rPr>
        <w:t>III</w:t>
      </w:r>
      <w:r w:rsidR="009B27BF" w:rsidRPr="00FB66B8">
        <w:rPr>
          <w:rFonts w:ascii="Arial" w:hAnsi="Arial"/>
        </w:rPr>
        <w:t xml:space="preserve">. Phase) </w:t>
      </w:r>
      <w:r w:rsidR="00E3337B" w:rsidRPr="00FB66B8">
        <w:rPr>
          <w:rFonts w:ascii="Arial" w:hAnsi="Arial"/>
        </w:rPr>
        <w:t xml:space="preserve">sowie das dazu gehörige Berichtswesen </w:t>
      </w:r>
      <w:r w:rsidR="009B27BF" w:rsidRPr="00FB66B8">
        <w:rPr>
          <w:rFonts w:ascii="Arial" w:hAnsi="Arial"/>
        </w:rPr>
        <w:t>w</w:t>
      </w:r>
      <w:r w:rsidR="00E3337B" w:rsidRPr="00FB66B8">
        <w:rPr>
          <w:rFonts w:ascii="Arial" w:hAnsi="Arial"/>
        </w:rPr>
        <w:t>e</w:t>
      </w:r>
      <w:r w:rsidR="009B27BF" w:rsidRPr="00FB66B8">
        <w:rPr>
          <w:rFonts w:ascii="Arial" w:hAnsi="Arial"/>
        </w:rPr>
        <w:t>rd</w:t>
      </w:r>
      <w:r w:rsidR="00E3337B" w:rsidRPr="00FB66B8">
        <w:rPr>
          <w:rFonts w:ascii="Arial" w:hAnsi="Arial"/>
        </w:rPr>
        <w:t>en</w:t>
      </w:r>
      <w:r w:rsidR="009B27BF" w:rsidRPr="00FB66B8">
        <w:rPr>
          <w:rFonts w:ascii="Arial" w:hAnsi="Arial"/>
        </w:rPr>
        <w:t xml:space="preserve"> durch gesonderte Vereinbarungen geregelt</w:t>
      </w:r>
      <w:r w:rsidR="008F073B" w:rsidRPr="00FB66B8">
        <w:rPr>
          <w:rFonts w:ascii="Arial" w:hAnsi="Arial"/>
        </w:rPr>
        <w:t>.</w:t>
      </w:r>
    </w:p>
    <w:p w:rsidR="000F4CC7" w:rsidRPr="00FB66B8" w:rsidRDefault="000F4CC7" w:rsidP="00312A91">
      <w:pPr>
        <w:pStyle w:val="berschrift3"/>
        <w:spacing w:before="360"/>
        <w:rPr>
          <w:b w:val="0"/>
          <w:sz w:val="22"/>
          <w:szCs w:val="22"/>
        </w:rPr>
      </w:pPr>
      <w:r w:rsidRPr="00FB66B8">
        <w:rPr>
          <w:b w:val="0"/>
          <w:sz w:val="22"/>
          <w:szCs w:val="22"/>
        </w:rPr>
        <w:t xml:space="preserve">B.3 </w:t>
      </w:r>
      <w:r w:rsidRPr="00FB66B8">
        <w:rPr>
          <w:b w:val="0"/>
          <w:sz w:val="22"/>
          <w:szCs w:val="22"/>
        </w:rPr>
        <w:tab/>
        <w:t>Finanzierung von Bauinvestitionen</w:t>
      </w:r>
    </w:p>
    <w:p w:rsidR="004624E9" w:rsidRPr="00FB66B8" w:rsidRDefault="00D407ED" w:rsidP="0056756F">
      <w:pPr>
        <w:pStyle w:val="Formatvorlage2"/>
        <w:spacing w:before="120" w:after="120"/>
        <w:rPr>
          <w:rFonts w:ascii="Arial" w:hAnsi="Arial"/>
        </w:rPr>
      </w:pPr>
      <w:r w:rsidRPr="00FB66B8">
        <w:rPr>
          <w:rFonts w:ascii="Arial" w:hAnsi="Arial"/>
        </w:rPr>
        <w:t>(1)</w:t>
      </w:r>
      <w:r w:rsidR="00E3337B" w:rsidRPr="00FB66B8">
        <w:rPr>
          <w:rFonts w:ascii="Arial" w:hAnsi="Arial"/>
        </w:rPr>
        <w:t xml:space="preserve"> </w:t>
      </w:r>
      <w:r w:rsidR="000F4CC7" w:rsidRPr="00FB66B8">
        <w:rPr>
          <w:rFonts w:ascii="Arial" w:hAnsi="Arial"/>
        </w:rPr>
        <w:t xml:space="preserve">Die Finanzierung der Bauinvestitionen erfolgt gemäß „Perspektivprogramm Hochschulbau bis 2020 für das Land Sachsen-Anhalt“. Dieses Programm sieht Hochschulbauvorhaben im Umfang von </w:t>
      </w:r>
      <w:r w:rsidR="000F4CC7" w:rsidRPr="00FB66B8">
        <w:rPr>
          <w:rFonts w:ascii="Arial" w:hAnsi="Arial"/>
        </w:rPr>
        <w:lastRenderedPageBreak/>
        <w:t>insgesamt 654 Mio. € vor. Die Verteilung der benötigten Baumittel auf die Haushaltsjahre und die Festlegung der möglichen Baubeginne erfolgt jeweils im Rahmen der Haushaltsverhandlungen</w:t>
      </w:r>
      <w:r w:rsidRPr="00FB66B8">
        <w:rPr>
          <w:rFonts w:ascii="Arial" w:hAnsi="Arial"/>
        </w:rPr>
        <w:t xml:space="preserve">. Das Land </w:t>
      </w:r>
      <w:r w:rsidR="00CC44A2" w:rsidRPr="00FB66B8">
        <w:rPr>
          <w:rFonts w:ascii="Arial" w:hAnsi="Arial"/>
        </w:rPr>
        <w:t>verpflichtet</w:t>
      </w:r>
      <w:r w:rsidRPr="00FB66B8">
        <w:rPr>
          <w:rFonts w:ascii="Arial" w:hAnsi="Arial"/>
        </w:rPr>
        <w:t xml:space="preserve"> sich</w:t>
      </w:r>
      <w:r w:rsidR="00951231">
        <w:rPr>
          <w:rFonts w:ascii="Arial" w:hAnsi="Arial"/>
        </w:rPr>
        <w:t>,</w:t>
      </w:r>
      <w:r w:rsidRPr="00FB66B8">
        <w:rPr>
          <w:rFonts w:ascii="Arial" w:hAnsi="Arial"/>
        </w:rPr>
        <w:t xml:space="preserve"> die entsprechenden Maßnahmen umzusetzen</w:t>
      </w:r>
      <w:r w:rsidR="000F4CC7" w:rsidRPr="00FB66B8">
        <w:rPr>
          <w:rFonts w:ascii="Arial" w:hAnsi="Arial"/>
        </w:rPr>
        <w:t>.</w:t>
      </w:r>
    </w:p>
    <w:p w:rsidR="005121AB" w:rsidRPr="00FB66B8" w:rsidRDefault="005121AB" w:rsidP="00BA43C6">
      <w:pPr>
        <w:pStyle w:val="berschrift3"/>
        <w:numPr>
          <w:ilvl w:val="0"/>
          <w:numId w:val="6"/>
        </w:numPr>
        <w:spacing w:before="600"/>
        <w:ind w:hanging="720"/>
        <w:jc w:val="both"/>
        <w:rPr>
          <w:caps/>
          <w:szCs w:val="24"/>
        </w:rPr>
      </w:pPr>
      <w:r w:rsidRPr="00FB66B8">
        <w:rPr>
          <w:caps/>
          <w:szCs w:val="24"/>
        </w:rPr>
        <w:t xml:space="preserve">berichterstattung </w:t>
      </w:r>
      <w:r w:rsidR="00BE10AF" w:rsidRPr="00FB66B8">
        <w:rPr>
          <w:caps/>
          <w:szCs w:val="24"/>
        </w:rPr>
        <w:t>und Erfolgskontrolle</w:t>
      </w:r>
    </w:p>
    <w:p w:rsidR="00F82A5A" w:rsidRDefault="00F82A5A" w:rsidP="00F82A5A">
      <w:pPr>
        <w:pStyle w:val="Formatvorlage2"/>
        <w:spacing w:before="120" w:after="120"/>
        <w:rPr>
          <w:rFonts w:ascii="Arial" w:hAnsi="Arial"/>
        </w:rPr>
      </w:pPr>
      <w:r w:rsidRPr="00FB66B8">
        <w:rPr>
          <w:rFonts w:ascii="Arial" w:hAnsi="Arial"/>
        </w:rPr>
        <w:t>(1) Hochschulen und MW kommen überein, dass die</w:t>
      </w:r>
      <w:r w:rsidR="00A41752">
        <w:rPr>
          <w:rFonts w:ascii="Arial" w:hAnsi="Arial"/>
        </w:rPr>
        <w:t xml:space="preserve"> jährliche</w:t>
      </w:r>
      <w:r w:rsidRPr="00FB66B8">
        <w:rPr>
          <w:rFonts w:ascii="Arial" w:hAnsi="Arial"/>
        </w:rPr>
        <w:t xml:space="preserve"> Berichterstattung gegenüber</w:t>
      </w:r>
      <w:r w:rsidR="00630A83">
        <w:rPr>
          <w:rFonts w:ascii="Arial" w:hAnsi="Arial"/>
        </w:rPr>
        <w:t xml:space="preserve"> dem</w:t>
      </w:r>
      <w:r w:rsidRPr="00FB66B8">
        <w:rPr>
          <w:rFonts w:ascii="Arial" w:hAnsi="Arial"/>
        </w:rPr>
        <w:t xml:space="preserve"> Lan</w:t>
      </w:r>
      <w:r w:rsidRPr="00FB66B8">
        <w:rPr>
          <w:rFonts w:ascii="Arial" w:hAnsi="Arial"/>
        </w:rPr>
        <w:t>d</w:t>
      </w:r>
      <w:r w:rsidRPr="00FB66B8">
        <w:rPr>
          <w:rFonts w:ascii="Arial" w:hAnsi="Arial"/>
        </w:rPr>
        <w:t xml:space="preserve">tag, </w:t>
      </w:r>
      <w:r w:rsidR="00630A83">
        <w:rPr>
          <w:rFonts w:ascii="Arial" w:hAnsi="Arial"/>
        </w:rPr>
        <w:t xml:space="preserve">der </w:t>
      </w:r>
      <w:r w:rsidRPr="00FB66B8">
        <w:rPr>
          <w:rFonts w:ascii="Arial" w:hAnsi="Arial"/>
        </w:rPr>
        <w:t xml:space="preserve">Landesregierung und </w:t>
      </w:r>
      <w:r w:rsidR="00630A83">
        <w:rPr>
          <w:rFonts w:ascii="Arial" w:hAnsi="Arial"/>
        </w:rPr>
        <w:t xml:space="preserve">der </w:t>
      </w:r>
      <w:r w:rsidRPr="00FB66B8">
        <w:rPr>
          <w:rFonts w:ascii="Arial" w:hAnsi="Arial"/>
        </w:rPr>
        <w:t>Öffentlichkeit auf Grundlage der Festlegungen des aktuellen Man</w:t>
      </w:r>
      <w:r w:rsidRPr="00FB66B8">
        <w:rPr>
          <w:rFonts w:ascii="Arial" w:hAnsi="Arial"/>
        </w:rPr>
        <w:t>u</w:t>
      </w:r>
      <w:r w:rsidRPr="00FB66B8">
        <w:rPr>
          <w:rFonts w:ascii="Arial" w:hAnsi="Arial"/>
        </w:rPr>
        <w:t xml:space="preserve">als </w:t>
      </w:r>
      <w:r w:rsidR="00B532C0" w:rsidRPr="00FB66B8">
        <w:rPr>
          <w:rFonts w:ascii="Arial" w:hAnsi="Arial"/>
        </w:rPr>
        <w:t>zur</w:t>
      </w:r>
      <w:r w:rsidRPr="00FB66B8">
        <w:rPr>
          <w:rFonts w:ascii="Arial" w:hAnsi="Arial"/>
        </w:rPr>
        <w:t xml:space="preserve"> Berichterstattung erfolgt. </w:t>
      </w:r>
      <w:r w:rsidR="00B532C0" w:rsidRPr="00FB66B8">
        <w:rPr>
          <w:rFonts w:ascii="Arial" w:hAnsi="Arial"/>
        </w:rPr>
        <w:t>Neben der Vorlage eines entsprechenden Rektorats</w:t>
      </w:r>
      <w:r w:rsidR="00785D8D" w:rsidRPr="00FB66B8">
        <w:rPr>
          <w:rFonts w:ascii="Arial" w:hAnsi="Arial"/>
        </w:rPr>
        <w:t>- und Finanzb</w:t>
      </w:r>
      <w:r w:rsidR="00B532C0" w:rsidRPr="00FB66B8">
        <w:rPr>
          <w:rFonts w:ascii="Arial" w:hAnsi="Arial"/>
        </w:rPr>
        <w:t>e</w:t>
      </w:r>
      <w:r w:rsidR="00B532C0" w:rsidRPr="00FB66B8">
        <w:rPr>
          <w:rFonts w:ascii="Arial" w:hAnsi="Arial"/>
        </w:rPr>
        <w:t>richtes</w:t>
      </w:r>
      <w:r w:rsidR="00FB6D35">
        <w:rPr>
          <w:rFonts w:ascii="Arial" w:hAnsi="Arial"/>
        </w:rPr>
        <w:t xml:space="preserve">, einschließlich der </w:t>
      </w:r>
      <w:r w:rsidR="001C53A0">
        <w:rPr>
          <w:rFonts w:ascii="Arial" w:hAnsi="Arial"/>
        </w:rPr>
        <w:t>Einnahmen und Ausgaben</w:t>
      </w:r>
      <w:r w:rsidR="00D25FD5">
        <w:rPr>
          <w:rFonts w:ascii="Arial" w:hAnsi="Arial"/>
        </w:rPr>
        <w:t xml:space="preserve"> aus Leistungen für Dritte</w:t>
      </w:r>
      <w:r w:rsidR="00FB6D35">
        <w:rPr>
          <w:rFonts w:ascii="Arial" w:hAnsi="Arial"/>
        </w:rPr>
        <w:t>,</w:t>
      </w:r>
      <w:r w:rsidR="00B532C0" w:rsidRPr="00FB66B8">
        <w:rPr>
          <w:rFonts w:ascii="Arial" w:hAnsi="Arial"/>
        </w:rPr>
        <w:t xml:space="preserve"> wird die Leistungsf</w:t>
      </w:r>
      <w:r w:rsidR="00B532C0" w:rsidRPr="00FB66B8">
        <w:rPr>
          <w:rFonts w:ascii="Arial" w:hAnsi="Arial"/>
        </w:rPr>
        <w:t>ä</w:t>
      </w:r>
      <w:r w:rsidR="00B532C0" w:rsidRPr="00FB66B8">
        <w:rPr>
          <w:rFonts w:ascii="Arial" w:hAnsi="Arial"/>
        </w:rPr>
        <w:t xml:space="preserve">higkeit der Hochschulen anhand der in Anlage </w:t>
      </w:r>
      <w:r w:rsidR="00B602E9" w:rsidRPr="00FB66B8">
        <w:rPr>
          <w:rFonts w:ascii="Arial" w:hAnsi="Arial"/>
        </w:rPr>
        <w:t>3</w:t>
      </w:r>
      <w:r w:rsidR="00B532C0" w:rsidRPr="00FB66B8">
        <w:rPr>
          <w:rFonts w:ascii="Arial" w:hAnsi="Arial"/>
        </w:rPr>
        <w:t xml:space="preserve"> aufgeführten Indikatoren dargestellt.</w:t>
      </w:r>
      <w:r w:rsidR="00A1605B" w:rsidRPr="00FB66B8">
        <w:rPr>
          <w:rFonts w:ascii="Arial" w:hAnsi="Arial"/>
        </w:rPr>
        <w:t xml:space="preserve"> Manual und Anlage können in der Laufzeit der Zielvereinbarung nach Abstimmung den aktuellen Erfordernissen angepasst werden.</w:t>
      </w:r>
    </w:p>
    <w:p w:rsidR="00430894" w:rsidRPr="00FB66B8" w:rsidRDefault="00430894" w:rsidP="00F82A5A">
      <w:pPr>
        <w:pStyle w:val="Formatvorlage2"/>
        <w:spacing w:before="120" w:after="120"/>
        <w:rPr>
          <w:rFonts w:ascii="Arial" w:hAnsi="Arial"/>
        </w:rPr>
      </w:pPr>
      <w:r>
        <w:rPr>
          <w:rFonts w:ascii="Arial" w:hAnsi="Arial"/>
        </w:rPr>
        <w:t xml:space="preserve">(2) </w:t>
      </w:r>
      <w:r w:rsidRPr="00FB66B8">
        <w:rPr>
          <w:rFonts w:ascii="Arial" w:hAnsi="Arial"/>
        </w:rPr>
        <w:t xml:space="preserve">Die Hochschulen </w:t>
      </w:r>
      <w:r w:rsidR="00D25FD5">
        <w:rPr>
          <w:rFonts w:ascii="Arial" w:hAnsi="Arial"/>
        </w:rPr>
        <w:t xml:space="preserve">ermitteln nach dem mit dem </w:t>
      </w:r>
      <w:r w:rsidR="00630A83">
        <w:rPr>
          <w:rFonts w:ascii="Arial" w:hAnsi="Arial"/>
        </w:rPr>
        <w:t>MW</w:t>
      </w:r>
      <w:r w:rsidR="00D25FD5">
        <w:rPr>
          <w:rFonts w:ascii="Arial" w:hAnsi="Arial"/>
        </w:rPr>
        <w:t xml:space="preserve"> abgestimmten Berechnungsmodus </w:t>
      </w:r>
      <w:r w:rsidR="00706286">
        <w:rPr>
          <w:rFonts w:ascii="Arial" w:hAnsi="Arial"/>
        </w:rPr>
        <w:t>auf Grun</w:t>
      </w:r>
      <w:r w:rsidR="00706286">
        <w:rPr>
          <w:rFonts w:ascii="Arial" w:hAnsi="Arial"/>
        </w:rPr>
        <w:t>d</w:t>
      </w:r>
      <w:r w:rsidR="00706286">
        <w:rPr>
          <w:rFonts w:ascii="Arial" w:hAnsi="Arial"/>
        </w:rPr>
        <w:t xml:space="preserve">lage der Kapazitätserhebung </w:t>
      </w:r>
      <w:r w:rsidR="0009604C">
        <w:rPr>
          <w:rFonts w:ascii="Arial" w:hAnsi="Arial"/>
        </w:rPr>
        <w:t xml:space="preserve">regelmäßig </w:t>
      </w:r>
      <w:r w:rsidRPr="00FB66B8">
        <w:rPr>
          <w:rFonts w:ascii="Arial" w:hAnsi="Arial"/>
        </w:rPr>
        <w:t>die Auslastung des gesamten Studienange</w:t>
      </w:r>
      <w:r w:rsidR="003951CC">
        <w:rPr>
          <w:rFonts w:ascii="Arial" w:hAnsi="Arial"/>
        </w:rPr>
        <w:t>bots.</w:t>
      </w:r>
    </w:p>
    <w:p w:rsidR="005121AB" w:rsidRPr="00FB66B8" w:rsidRDefault="005121AB" w:rsidP="00BA43C6">
      <w:pPr>
        <w:pStyle w:val="berschrift3"/>
        <w:numPr>
          <w:ilvl w:val="0"/>
          <w:numId w:val="6"/>
        </w:numPr>
        <w:spacing w:before="600"/>
        <w:ind w:hanging="720"/>
        <w:jc w:val="both"/>
        <w:rPr>
          <w:caps/>
          <w:szCs w:val="24"/>
        </w:rPr>
      </w:pPr>
      <w:r w:rsidRPr="00FB66B8">
        <w:rPr>
          <w:caps/>
          <w:szCs w:val="24"/>
        </w:rPr>
        <w:t>Laufzeit</w:t>
      </w:r>
    </w:p>
    <w:p w:rsidR="00990E24" w:rsidRPr="00FB66B8" w:rsidRDefault="00B602E9" w:rsidP="00B602E9">
      <w:pPr>
        <w:pStyle w:val="Formatvorlage2"/>
        <w:spacing w:before="120" w:after="120"/>
        <w:rPr>
          <w:rFonts w:ascii="Arial" w:hAnsi="Arial"/>
        </w:rPr>
      </w:pPr>
      <w:r w:rsidRPr="00FB66B8">
        <w:rPr>
          <w:rFonts w:ascii="Arial" w:hAnsi="Arial"/>
        </w:rPr>
        <w:t xml:space="preserve">(1) </w:t>
      </w:r>
      <w:r w:rsidR="00990E24" w:rsidRPr="00FB66B8">
        <w:rPr>
          <w:rFonts w:ascii="Arial" w:hAnsi="Arial"/>
        </w:rPr>
        <w:t xml:space="preserve">Die Zielvereinbarung wird für den Zeitraum </w:t>
      </w:r>
      <w:r w:rsidR="00734921" w:rsidRPr="00FB66B8">
        <w:rPr>
          <w:rFonts w:ascii="Arial" w:hAnsi="Arial"/>
        </w:rPr>
        <w:t xml:space="preserve">01. Januar </w:t>
      </w:r>
      <w:r w:rsidR="00990E24" w:rsidRPr="00FB66B8">
        <w:rPr>
          <w:rFonts w:ascii="Arial" w:hAnsi="Arial"/>
        </w:rPr>
        <w:t xml:space="preserve">2015 bis </w:t>
      </w:r>
      <w:r w:rsidR="00734921" w:rsidRPr="00FB66B8">
        <w:rPr>
          <w:rFonts w:ascii="Arial" w:hAnsi="Arial"/>
        </w:rPr>
        <w:t xml:space="preserve">31. Dezember </w:t>
      </w:r>
      <w:r w:rsidR="00990E24" w:rsidRPr="00FB66B8">
        <w:rPr>
          <w:rFonts w:ascii="Arial" w:hAnsi="Arial"/>
        </w:rPr>
        <w:t>2019 abgeschlo</w:t>
      </w:r>
      <w:r w:rsidR="00990E24" w:rsidRPr="00FB66B8">
        <w:rPr>
          <w:rFonts w:ascii="Arial" w:hAnsi="Arial"/>
        </w:rPr>
        <w:t>s</w:t>
      </w:r>
      <w:r w:rsidR="00990E24" w:rsidRPr="00FB66B8">
        <w:rPr>
          <w:rFonts w:ascii="Arial" w:hAnsi="Arial"/>
        </w:rPr>
        <w:t>sen</w:t>
      </w:r>
      <w:r w:rsidR="00EF1692">
        <w:rPr>
          <w:rFonts w:ascii="Arial" w:hAnsi="Arial"/>
        </w:rPr>
        <w:t>.</w:t>
      </w:r>
    </w:p>
    <w:p w:rsidR="00990E24" w:rsidRPr="00FB66B8" w:rsidRDefault="00B602E9" w:rsidP="00C45BE7">
      <w:pPr>
        <w:pStyle w:val="Formatvorlage2"/>
        <w:spacing w:before="120" w:after="120"/>
        <w:rPr>
          <w:rFonts w:ascii="Arial" w:hAnsi="Arial"/>
        </w:rPr>
      </w:pPr>
      <w:r w:rsidRPr="00FB66B8">
        <w:rPr>
          <w:rFonts w:ascii="Arial" w:hAnsi="Arial"/>
        </w:rPr>
        <w:t xml:space="preserve">(2) </w:t>
      </w:r>
      <w:r w:rsidR="00990E24" w:rsidRPr="00FB66B8">
        <w:rPr>
          <w:rFonts w:ascii="Arial" w:hAnsi="Arial"/>
        </w:rPr>
        <w:t>Beide Seiten werden rechtzeitig vor dem Auslaufen der Vereinbarung Verhandlungen über die Fortschreibung aufnehmen</w:t>
      </w:r>
      <w:r w:rsidR="00E03BF5" w:rsidRPr="00FB66B8">
        <w:rPr>
          <w:rFonts w:ascii="Arial" w:hAnsi="Arial"/>
        </w:rPr>
        <w:t xml:space="preserve">, damit die </w:t>
      </w:r>
      <w:r w:rsidR="00003CE7" w:rsidRPr="00FB66B8">
        <w:rPr>
          <w:rFonts w:ascii="Arial" w:hAnsi="Arial"/>
        </w:rPr>
        <w:t>Hochschule</w:t>
      </w:r>
      <w:r w:rsidR="00E03BF5" w:rsidRPr="00FB66B8">
        <w:rPr>
          <w:rFonts w:ascii="Arial" w:hAnsi="Arial"/>
        </w:rPr>
        <w:t xml:space="preserve"> auch über 2019 hinaus Planungssicherheit erhält</w:t>
      </w:r>
      <w:r w:rsidR="00990E24" w:rsidRPr="00FB66B8">
        <w:rPr>
          <w:rFonts w:ascii="Arial" w:hAnsi="Arial"/>
        </w:rPr>
        <w:t>.</w:t>
      </w:r>
    </w:p>
    <w:p w:rsidR="001F304A" w:rsidRPr="00FB66B8" w:rsidRDefault="001F304A" w:rsidP="00C45BE7">
      <w:pPr>
        <w:pStyle w:val="Formatvorlage2"/>
        <w:spacing w:before="120" w:after="120"/>
        <w:rPr>
          <w:rFonts w:ascii="Arial" w:hAnsi="Arial"/>
        </w:rPr>
      </w:pPr>
    </w:p>
    <w:p w:rsidR="006F55F8" w:rsidRPr="00FB66B8" w:rsidRDefault="00E16B4C" w:rsidP="00C45BE7">
      <w:pPr>
        <w:pStyle w:val="Formatvorlage2"/>
        <w:spacing w:before="120" w:after="120"/>
        <w:jc w:val="left"/>
        <w:rPr>
          <w:rFonts w:ascii="Arial" w:hAnsi="Arial"/>
        </w:rPr>
      </w:pPr>
      <w:r w:rsidRPr="00FB66B8">
        <w:rPr>
          <w:rFonts w:ascii="Arial" w:hAnsi="Arial"/>
        </w:rPr>
        <w:t>Magdebur</w:t>
      </w:r>
      <w:r w:rsidR="00F33CDE" w:rsidRPr="00FB66B8">
        <w:rPr>
          <w:rFonts w:ascii="Arial" w:hAnsi="Arial"/>
        </w:rPr>
        <w:t>g</w:t>
      </w:r>
      <w:r w:rsidR="007C68A9" w:rsidRPr="00FB66B8">
        <w:rPr>
          <w:rFonts w:ascii="Arial" w:hAnsi="Arial"/>
        </w:rPr>
        <w:t xml:space="preserve">, den </w:t>
      </w:r>
      <w:r w:rsidR="007917EC">
        <w:rPr>
          <w:rFonts w:ascii="Arial" w:hAnsi="Arial"/>
        </w:rPr>
        <w:t>29</w:t>
      </w:r>
      <w:r w:rsidR="007C68A9" w:rsidRPr="00FB66B8">
        <w:rPr>
          <w:rFonts w:ascii="Arial" w:hAnsi="Arial"/>
        </w:rPr>
        <w:t xml:space="preserve">. </w:t>
      </w:r>
      <w:r w:rsidR="007917EC">
        <w:rPr>
          <w:rFonts w:ascii="Arial" w:hAnsi="Arial"/>
        </w:rPr>
        <w:t>Januar</w:t>
      </w:r>
      <w:r w:rsidR="007C68A9" w:rsidRPr="00FB66B8">
        <w:rPr>
          <w:rFonts w:ascii="Arial" w:hAnsi="Arial"/>
        </w:rPr>
        <w:t xml:space="preserve"> 20</w:t>
      </w:r>
      <w:r w:rsidR="007917EC">
        <w:rPr>
          <w:rFonts w:ascii="Arial" w:hAnsi="Arial"/>
        </w:rPr>
        <w:t>15</w:t>
      </w:r>
    </w:p>
    <w:p w:rsidR="006F55F8" w:rsidRPr="00FB66B8" w:rsidRDefault="006F55F8" w:rsidP="00C45BE7">
      <w:pPr>
        <w:pStyle w:val="Formatvorlage2"/>
        <w:spacing w:before="120" w:after="120"/>
        <w:rPr>
          <w:rFonts w:ascii="Arial" w:hAnsi="Arial"/>
        </w:rPr>
      </w:pPr>
    </w:p>
    <w:p w:rsidR="006F55F8" w:rsidRPr="00FB66B8" w:rsidRDefault="006F55F8" w:rsidP="00C45BE7">
      <w:pPr>
        <w:pStyle w:val="Formatvorlage2"/>
        <w:spacing w:before="120" w:after="120"/>
        <w:rPr>
          <w:rFonts w:ascii="Arial" w:hAnsi="Arial"/>
        </w:rPr>
      </w:pPr>
    </w:p>
    <w:p w:rsidR="00111436" w:rsidRDefault="00111436" w:rsidP="00C45BE7">
      <w:pPr>
        <w:pStyle w:val="Formatvorlage2"/>
        <w:spacing w:before="120" w:after="120"/>
        <w:rPr>
          <w:rFonts w:ascii="Arial" w:hAnsi="Arial"/>
        </w:rPr>
      </w:pPr>
    </w:p>
    <w:p w:rsidR="00C70FDC" w:rsidRPr="00FB66B8" w:rsidRDefault="00C70FDC" w:rsidP="00C45BE7">
      <w:pPr>
        <w:pStyle w:val="Formatvorlage2"/>
        <w:spacing w:before="120" w:after="120"/>
        <w:rPr>
          <w:rFonts w:ascii="Arial" w:hAnsi="Arial"/>
        </w:rPr>
      </w:pPr>
    </w:p>
    <w:p w:rsidR="00111436" w:rsidRPr="00FB66B8" w:rsidRDefault="00111436" w:rsidP="00C45BE7">
      <w:pPr>
        <w:pStyle w:val="Formatvorlage2"/>
        <w:spacing w:before="120" w:after="120"/>
        <w:rPr>
          <w:rFonts w:ascii="Arial" w:hAnsi="Arial"/>
        </w:rPr>
      </w:pPr>
    </w:p>
    <w:tbl>
      <w:tblPr>
        <w:tblW w:w="9287" w:type="dxa"/>
        <w:tblLayout w:type="fixed"/>
        <w:tblLook w:val="01E0" w:firstRow="1" w:lastRow="1" w:firstColumn="1" w:lastColumn="1" w:noHBand="0" w:noVBand="0"/>
      </w:tblPr>
      <w:tblGrid>
        <w:gridCol w:w="4554"/>
        <w:gridCol w:w="497"/>
        <w:gridCol w:w="4236"/>
      </w:tblGrid>
      <w:tr w:rsidR="007C68A9" w:rsidRPr="00FB66B8" w:rsidTr="00C70FDC">
        <w:trPr>
          <w:trHeight w:val="1216"/>
        </w:trPr>
        <w:tc>
          <w:tcPr>
            <w:tcW w:w="4554" w:type="dxa"/>
            <w:tcBorders>
              <w:top w:val="single" w:sz="4" w:space="0" w:color="auto"/>
            </w:tcBorders>
            <w:shd w:val="clear" w:color="auto" w:fill="auto"/>
          </w:tcPr>
          <w:p w:rsidR="007C68A9" w:rsidRPr="00FB66B8" w:rsidRDefault="007C68A9" w:rsidP="00C45BE7">
            <w:pPr>
              <w:pStyle w:val="Einzughngend15zg"/>
              <w:tabs>
                <w:tab w:val="left" w:pos="4820"/>
              </w:tabs>
              <w:spacing w:line="240" w:lineRule="auto"/>
              <w:ind w:left="142" w:right="361" w:hanging="142"/>
              <w:rPr>
                <w:rFonts w:ascii="Arial" w:hAnsi="Arial"/>
                <w:sz w:val="18"/>
              </w:rPr>
            </w:pPr>
            <w:r w:rsidRPr="00FB66B8">
              <w:rPr>
                <w:rFonts w:ascii="Arial" w:hAnsi="Arial"/>
                <w:sz w:val="18"/>
              </w:rPr>
              <w:t xml:space="preserve">Hartmut </w:t>
            </w:r>
            <w:proofErr w:type="spellStart"/>
            <w:r w:rsidRPr="00FB66B8">
              <w:rPr>
                <w:rFonts w:ascii="Arial" w:hAnsi="Arial"/>
                <w:sz w:val="18"/>
              </w:rPr>
              <w:t>Möllring</w:t>
            </w:r>
            <w:proofErr w:type="spellEnd"/>
          </w:p>
          <w:p w:rsidR="007C68A9" w:rsidRPr="00FB66B8" w:rsidRDefault="007C68A9" w:rsidP="00C45BE7">
            <w:pPr>
              <w:pStyle w:val="Einzughngend15zg"/>
              <w:tabs>
                <w:tab w:val="left" w:pos="4820"/>
              </w:tabs>
              <w:spacing w:line="240" w:lineRule="auto"/>
              <w:ind w:left="142" w:right="361" w:firstLine="0"/>
              <w:rPr>
                <w:rFonts w:ascii="Arial" w:hAnsi="Arial"/>
                <w:sz w:val="18"/>
              </w:rPr>
            </w:pPr>
            <w:r w:rsidRPr="00FB66B8">
              <w:rPr>
                <w:rFonts w:ascii="Arial" w:hAnsi="Arial"/>
                <w:sz w:val="18"/>
              </w:rPr>
              <w:t xml:space="preserve">Minister für Wissenschaft und Wirtschaft </w:t>
            </w:r>
          </w:p>
          <w:p w:rsidR="007C68A9" w:rsidRPr="00FB66B8" w:rsidRDefault="007C68A9" w:rsidP="00C45BE7">
            <w:pPr>
              <w:pStyle w:val="Einzughngend15zg"/>
              <w:tabs>
                <w:tab w:val="left" w:pos="4820"/>
              </w:tabs>
              <w:spacing w:line="240" w:lineRule="auto"/>
              <w:ind w:left="142" w:right="361" w:firstLine="0"/>
              <w:rPr>
                <w:rFonts w:ascii="Arial" w:hAnsi="Arial"/>
                <w:sz w:val="18"/>
              </w:rPr>
            </w:pPr>
            <w:r w:rsidRPr="00FB66B8">
              <w:rPr>
                <w:rFonts w:ascii="Arial" w:hAnsi="Arial"/>
                <w:sz w:val="18"/>
              </w:rPr>
              <w:t>des Landes Sachsen-Anhalt</w:t>
            </w:r>
          </w:p>
        </w:tc>
        <w:tc>
          <w:tcPr>
            <w:tcW w:w="497" w:type="dxa"/>
            <w:shd w:val="clear" w:color="auto" w:fill="auto"/>
          </w:tcPr>
          <w:p w:rsidR="007C68A9" w:rsidRPr="00FB66B8" w:rsidRDefault="007C68A9" w:rsidP="00C45BE7">
            <w:pPr>
              <w:pStyle w:val="Einzughngend15zg"/>
              <w:tabs>
                <w:tab w:val="left" w:pos="4820"/>
              </w:tabs>
              <w:spacing w:line="240" w:lineRule="auto"/>
              <w:ind w:left="0" w:right="361" w:firstLine="0"/>
              <w:rPr>
                <w:rFonts w:ascii="Arial" w:hAnsi="Arial"/>
                <w:sz w:val="18"/>
              </w:rPr>
            </w:pPr>
          </w:p>
          <w:p w:rsidR="007C68A9" w:rsidRPr="00FB66B8" w:rsidRDefault="007C68A9" w:rsidP="00C45BE7">
            <w:pPr>
              <w:pStyle w:val="Einzughngend15zg"/>
              <w:tabs>
                <w:tab w:val="left" w:pos="4820"/>
              </w:tabs>
              <w:spacing w:line="240" w:lineRule="auto"/>
              <w:ind w:left="0" w:right="361" w:firstLine="0"/>
              <w:rPr>
                <w:rFonts w:ascii="Arial" w:hAnsi="Arial"/>
                <w:sz w:val="18"/>
              </w:rPr>
            </w:pPr>
          </w:p>
          <w:p w:rsidR="007C68A9" w:rsidRPr="00FB66B8" w:rsidRDefault="007C68A9" w:rsidP="00C45BE7">
            <w:pPr>
              <w:pStyle w:val="Einzughngend15zg"/>
              <w:tabs>
                <w:tab w:val="left" w:pos="4820"/>
              </w:tabs>
              <w:spacing w:line="240" w:lineRule="auto"/>
              <w:ind w:left="0" w:right="361" w:firstLine="0"/>
              <w:rPr>
                <w:rFonts w:ascii="Arial" w:hAnsi="Arial"/>
                <w:sz w:val="18"/>
              </w:rPr>
            </w:pPr>
          </w:p>
        </w:tc>
        <w:tc>
          <w:tcPr>
            <w:tcW w:w="4236" w:type="dxa"/>
            <w:tcBorders>
              <w:top w:val="single" w:sz="4" w:space="0" w:color="auto"/>
            </w:tcBorders>
            <w:shd w:val="clear" w:color="auto" w:fill="auto"/>
          </w:tcPr>
          <w:p w:rsidR="007917EC" w:rsidRPr="007917EC" w:rsidRDefault="007917EC" w:rsidP="007917EC">
            <w:pPr>
              <w:pStyle w:val="Einzughngend15zg"/>
              <w:tabs>
                <w:tab w:val="left" w:pos="4820"/>
              </w:tabs>
              <w:spacing w:line="240" w:lineRule="auto"/>
              <w:ind w:left="142" w:right="361" w:hanging="142"/>
              <w:rPr>
                <w:rFonts w:ascii="Arial" w:hAnsi="Arial"/>
                <w:sz w:val="18"/>
              </w:rPr>
            </w:pPr>
            <w:r w:rsidRPr="007917EC">
              <w:rPr>
                <w:rFonts w:ascii="Arial" w:hAnsi="Arial"/>
                <w:sz w:val="18"/>
              </w:rPr>
              <w:t xml:space="preserve">Prof. Dr. Jens </w:t>
            </w:r>
            <w:proofErr w:type="spellStart"/>
            <w:r w:rsidRPr="007917EC">
              <w:rPr>
                <w:rFonts w:ascii="Arial" w:hAnsi="Arial"/>
                <w:sz w:val="18"/>
              </w:rPr>
              <w:t>Strackeljan</w:t>
            </w:r>
            <w:proofErr w:type="spellEnd"/>
          </w:p>
          <w:p w:rsidR="007C68A9" w:rsidRPr="00FB66B8" w:rsidRDefault="007917EC" w:rsidP="007917EC">
            <w:pPr>
              <w:pStyle w:val="Einzughngend15zg"/>
              <w:tabs>
                <w:tab w:val="left" w:pos="4820"/>
              </w:tabs>
              <w:spacing w:line="240" w:lineRule="auto"/>
              <w:ind w:left="194" w:right="361" w:firstLine="0"/>
              <w:rPr>
                <w:rFonts w:ascii="Arial" w:hAnsi="Arial"/>
                <w:sz w:val="18"/>
              </w:rPr>
            </w:pPr>
            <w:r w:rsidRPr="007917EC">
              <w:rPr>
                <w:rFonts w:ascii="Arial" w:hAnsi="Arial"/>
                <w:sz w:val="18"/>
              </w:rPr>
              <w:t>Rektor der Otto-von-Guericke-Universität Magdeburg</w:t>
            </w:r>
          </w:p>
        </w:tc>
      </w:tr>
    </w:tbl>
    <w:p w:rsidR="00264442" w:rsidRDefault="00264442" w:rsidP="00C45BE7"/>
    <w:p w:rsidR="00264442" w:rsidRDefault="00264442">
      <w:r>
        <w:br w:type="page"/>
      </w:r>
    </w:p>
    <w:p w:rsidR="007917EC" w:rsidRPr="009177C5" w:rsidRDefault="007917EC" w:rsidP="007917EC">
      <w:pPr>
        <w:keepNext/>
        <w:widowControl w:val="0"/>
        <w:autoSpaceDE w:val="0"/>
        <w:autoSpaceDN w:val="0"/>
        <w:adjustRightInd w:val="0"/>
        <w:spacing w:after="120"/>
        <w:jc w:val="right"/>
        <w:outlineLvl w:val="2"/>
        <w:rPr>
          <w:rFonts w:eastAsia="Times New Roman"/>
          <w:b/>
          <w:bCs/>
          <w:caps/>
          <w:sz w:val="24"/>
          <w:szCs w:val="24"/>
        </w:rPr>
      </w:pPr>
      <w:r w:rsidRPr="009177C5">
        <w:rPr>
          <w:rFonts w:eastAsia="Times New Roman"/>
          <w:b/>
          <w:bCs/>
          <w:caps/>
          <w:sz w:val="24"/>
          <w:szCs w:val="24"/>
        </w:rPr>
        <w:lastRenderedPageBreak/>
        <w:t>Anlage 1</w:t>
      </w:r>
    </w:p>
    <w:p w:rsidR="007917EC" w:rsidRDefault="007917EC" w:rsidP="007917EC">
      <w:pPr>
        <w:spacing w:after="480"/>
        <w:jc w:val="center"/>
        <w:rPr>
          <w:b/>
          <w:sz w:val="24"/>
          <w:szCs w:val="24"/>
        </w:rPr>
      </w:pPr>
      <w:r>
        <w:rPr>
          <w:b/>
          <w:sz w:val="24"/>
          <w:szCs w:val="24"/>
        </w:rPr>
        <w:t xml:space="preserve">Lehrebezogene Profile </w:t>
      </w:r>
    </w:p>
    <w:p w:rsidR="00E1413A" w:rsidRDefault="00E1413A" w:rsidP="007917EC">
      <w:r>
        <w:t>Maschinenbau/Logistik/Mechatronik/Integrated Design Engineering</w:t>
      </w:r>
    </w:p>
    <w:p w:rsidR="00E1413A" w:rsidRDefault="00E1413A" w:rsidP="007917EC">
      <w:r>
        <w:t>Verfahrenstechnik/Biosystemtechnik/Sicherheit und Gefahrenabwehr/Chemical Engineering</w:t>
      </w:r>
    </w:p>
    <w:p w:rsidR="00E1413A" w:rsidRDefault="00E1413A" w:rsidP="007917EC">
      <w:r>
        <w:t>Elektro-/Informations-/Energietechnik/Systemtheorie</w:t>
      </w:r>
    </w:p>
    <w:p w:rsidR="00E1413A" w:rsidRDefault="00E1413A" w:rsidP="007917EC">
      <w:r>
        <w:t>Medizintechnik</w:t>
      </w:r>
      <w:bookmarkStart w:id="19" w:name="_GoBack"/>
      <w:bookmarkEnd w:id="19"/>
    </w:p>
    <w:p w:rsidR="00E1413A" w:rsidRDefault="00E1413A" w:rsidP="007917EC">
      <w:r>
        <w:t>Elektrische Energiesysteme/Nachhaltige Energiesysteme/Umwelt- und Energieprozesstechnik</w:t>
      </w:r>
    </w:p>
    <w:p w:rsidR="00E1413A" w:rsidRDefault="00E1413A" w:rsidP="007917EC">
      <w:r>
        <w:t>Wirtschaftsingenieurwesen</w:t>
      </w:r>
    </w:p>
    <w:p w:rsidR="00E1413A" w:rsidRDefault="00E1413A" w:rsidP="007917EC">
      <w:r>
        <w:t>Wirtschaftswissenschaft: BWL/VWL/International Management</w:t>
      </w:r>
    </w:p>
    <w:p w:rsidR="00E1413A" w:rsidRDefault="00E1413A" w:rsidP="007917EC">
      <w:r>
        <w:t>Informatik/Wirtschaftsinformatik/</w:t>
      </w:r>
      <w:proofErr w:type="spellStart"/>
      <w:r>
        <w:t>Computervisualistik</w:t>
      </w:r>
      <w:proofErr w:type="spellEnd"/>
    </w:p>
    <w:p w:rsidR="00E1413A" w:rsidRDefault="00E1413A" w:rsidP="007917EC">
      <w:r>
        <w:t>Physik</w:t>
      </w:r>
    </w:p>
    <w:p w:rsidR="00E1413A" w:rsidRDefault="00E1413A" w:rsidP="007917EC">
      <w:r>
        <w:t xml:space="preserve">Neurobiologie/Integrative </w:t>
      </w:r>
      <w:proofErr w:type="spellStart"/>
      <w:r>
        <w:t>Neuroscience</w:t>
      </w:r>
      <w:proofErr w:type="spellEnd"/>
    </w:p>
    <w:p w:rsidR="00E1413A" w:rsidRDefault="00E1413A" w:rsidP="007917EC">
      <w:r>
        <w:t>Psychologie</w:t>
      </w:r>
    </w:p>
    <w:p w:rsidR="00E1413A" w:rsidRDefault="00E1413A" w:rsidP="007917EC">
      <w:r>
        <w:t>Mathematik/Statistik</w:t>
      </w:r>
    </w:p>
    <w:p w:rsidR="00E1413A" w:rsidRDefault="00E1413A" w:rsidP="007917EC">
      <w:r>
        <w:t>Philosophie/Kognitionswissenschaft</w:t>
      </w:r>
    </w:p>
    <w:p w:rsidR="00E1413A" w:rsidRDefault="00E1413A" w:rsidP="007917EC">
      <w:r>
        <w:t>Bildungswissenschaft/Medienbildung</w:t>
      </w:r>
    </w:p>
    <w:p w:rsidR="00E1413A" w:rsidRDefault="00E1413A" w:rsidP="007917EC">
      <w:r>
        <w:t>Berufliche Bildung/Technische Bildung</w:t>
      </w:r>
    </w:p>
    <w:p w:rsidR="00E1413A" w:rsidRDefault="00E1413A" w:rsidP="007917EC">
      <w:r>
        <w:t>(</w:t>
      </w:r>
      <w:commentRangeStart w:id="20"/>
      <w:proofErr w:type="spellStart"/>
      <w:r>
        <w:t>Kulturwissenschaft:Geschichte,Germanistik</w:t>
      </w:r>
      <w:commentRangeEnd w:id="20"/>
      <w:proofErr w:type="spellEnd"/>
      <w:r>
        <w:rPr>
          <w:rStyle w:val="Kommentarzeichen"/>
        </w:rPr>
        <w:commentReference w:id="20"/>
      </w:r>
      <w:r>
        <w:t>)</w:t>
      </w:r>
    </w:p>
    <w:p w:rsidR="00E1413A" w:rsidRDefault="00E1413A" w:rsidP="007917EC">
      <w:r>
        <w:t>Sozialwissenschaft</w:t>
      </w:r>
    </w:p>
    <w:p w:rsidR="00E1413A" w:rsidRDefault="00E1413A" w:rsidP="007917EC">
      <w:r>
        <w:t>European Studies</w:t>
      </w:r>
    </w:p>
    <w:p w:rsidR="00E1413A" w:rsidRDefault="00E1413A" w:rsidP="007917EC">
      <w:r>
        <w:t>Sport/Sport und Technik/Sport und Gesundheit</w:t>
      </w:r>
    </w:p>
    <w:p w:rsidR="00E1413A" w:rsidRDefault="00E1413A" w:rsidP="007917EC">
      <w:r>
        <w:t>Friedens und Konfliktforschung</w:t>
      </w:r>
    </w:p>
    <w:p w:rsidR="007917EC" w:rsidRPr="00E1413A" w:rsidRDefault="00E1413A" w:rsidP="007917EC">
      <w:r>
        <w:t>(</w:t>
      </w:r>
      <w:commentRangeStart w:id="21"/>
      <w:r>
        <w:t>Medizin</w:t>
      </w:r>
      <w:commentRangeEnd w:id="21"/>
      <w:r>
        <w:rPr>
          <w:rStyle w:val="Kommentarzeichen"/>
        </w:rPr>
        <w:commentReference w:id="21"/>
      </w:r>
      <w:r>
        <w:t>)</w:t>
      </w:r>
      <w:r w:rsidR="007917EC">
        <w:br w:type="page"/>
      </w:r>
    </w:p>
    <w:p w:rsidR="007917EC" w:rsidRPr="00DE3532" w:rsidRDefault="007917EC" w:rsidP="007917EC">
      <w:pPr>
        <w:keepNext/>
        <w:autoSpaceDE w:val="0"/>
        <w:autoSpaceDN w:val="0"/>
        <w:adjustRightInd w:val="0"/>
        <w:spacing w:after="120"/>
        <w:jc w:val="right"/>
        <w:outlineLvl w:val="2"/>
        <w:rPr>
          <w:b/>
          <w:bCs/>
          <w:caps/>
          <w:sz w:val="24"/>
          <w:szCs w:val="24"/>
        </w:rPr>
      </w:pPr>
      <w:r w:rsidRPr="00DE3532">
        <w:rPr>
          <w:b/>
          <w:bCs/>
          <w:caps/>
          <w:sz w:val="24"/>
          <w:szCs w:val="24"/>
        </w:rPr>
        <w:lastRenderedPageBreak/>
        <w:t>Anlage 2</w:t>
      </w:r>
    </w:p>
    <w:p w:rsidR="007917EC" w:rsidRPr="00F96011" w:rsidRDefault="007917EC" w:rsidP="007917EC">
      <w:pPr>
        <w:spacing w:after="480"/>
        <w:jc w:val="center"/>
        <w:rPr>
          <w:b/>
          <w:sz w:val="24"/>
          <w:szCs w:val="24"/>
        </w:rPr>
      </w:pPr>
      <w:r w:rsidRPr="00F96011">
        <w:rPr>
          <w:b/>
          <w:sz w:val="24"/>
          <w:szCs w:val="24"/>
        </w:rPr>
        <w:t>Veranschlagungs- und Bewirtschaftungsregelungen</w:t>
      </w:r>
    </w:p>
    <w:p w:rsidR="007917EC" w:rsidRPr="00B53BDF" w:rsidRDefault="007917EC" w:rsidP="007917EC">
      <w:pPr>
        <w:pStyle w:val="Textkrper"/>
        <w:spacing w:line="312" w:lineRule="auto"/>
        <w:rPr>
          <w:szCs w:val="20"/>
        </w:rPr>
      </w:pPr>
      <w:r w:rsidRPr="00B53BDF">
        <w:rPr>
          <w:szCs w:val="20"/>
        </w:rPr>
        <w:t>Für die Bewirtschaftung der zugewiesenen Zuschüsse und sonstigen Zuführungen durch die Hoc</w:t>
      </w:r>
      <w:r w:rsidRPr="00B53BDF">
        <w:rPr>
          <w:szCs w:val="20"/>
        </w:rPr>
        <w:t>h</w:t>
      </w:r>
      <w:r w:rsidRPr="00B53BDF">
        <w:rPr>
          <w:szCs w:val="20"/>
        </w:rPr>
        <w:t>schule gelten auf der Grundlage der im Haushaltsplan des Landes erteilten Ermächtigungen nachfo</w:t>
      </w:r>
      <w:r w:rsidRPr="00B53BDF">
        <w:rPr>
          <w:szCs w:val="20"/>
        </w:rPr>
        <w:t>l</w:t>
      </w:r>
      <w:r w:rsidRPr="00B53BDF">
        <w:rPr>
          <w:szCs w:val="20"/>
        </w:rPr>
        <w:t>gende Veranschlagungs- und Bewirtschaftungsregelungen. Auf sonstige Zuweisungen (z. B. Sonde</w:t>
      </w:r>
      <w:r w:rsidRPr="00B53BDF">
        <w:rPr>
          <w:szCs w:val="20"/>
        </w:rPr>
        <w:t>r</w:t>
      </w:r>
      <w:r w:rsidRPr="00B53BDF">
        <w:rPr>
          <w:szCs w:val="20"/>
        </w:rPr>
        <w:t>zuweisungen aus zentraler Bewirtschaftung), die der Hochschule außerhalb des Budgets zusätzlich zur Verfügung gestellt werden, finden die Finanzierungs- und Bewirtschaftungsregelungen keine A</w:t>
      </w:r>
      <w:r w:rsidRPr="00B53BDF">
        <w:rPr>
          <w:szCs w:val="20"/>
        </w:rPr>
        <w:t>n</w:t>
      </w:r>
      <w:r w:rsidRPr="00B53BDF">
        <w:rPr>
          <w:szCs w:val="20"/>
        </w:rPr>
        <w:t xml:space="preserve">wendung. </w:t>
      </w:r>
    </w:p>
    <w:p w:rsidR="007917EC" w:rsidRPr="00B53BDF" w:rsidRDefault="007917EC" w:rsidP="007917EC">
      <w:pPr>
        <w:pStyle w:val="Anlafge2"/>
        <w:numPr>
          <w:ilvl w:val="0"/>
          <w:numId w:val="15"/>
        </w:numPr>
        <w:tabs>
          <w:tab w:val="clear" w:pos="1080"/>
        </w:tabs>
        <w:spacing w:before="240" w:after="120" w:line="312" w:lineRule="auto"/>
        <w:ind w:left="360" w:hanging="340"/>
        <w:rPr>
          <w:rFonts w:ascii="Arial" w:hAnsi="Arial" w:cs="Arial"/>
          <w:color w:val="auto"/>
          <w:szCs w:val="22"/>
        </w:rPr>
      </w:pPr>
      <w:r w:rsidRPr="00B53BDF">
        <w:rPr>
          <w:rFonts w:ascii="Arial" w:hAnsi="Arial" w:cs="Arial"/>
          <w:color w:val="auto"/>
          <w:szCs w:val="22"/>
        </w:rPr>
        <w:t xml:space="preserve">Aufstellung des Wirtschaftsplanes </w:t>
      </w:r>
    </w:p>
    <w:p w:rsidR="007917EC" w:rsidRPr="00B53BDF" w:rsidRDefault="007917EC" w:rsidP="007917EC">
      <w:pPr>
        <w:pStyle w:val="Textkrper"/>
        <w:spacing w:line="312" w:lineRule="auto"/>
        <w:rPr>
          <w:szCs w:val="20"/>
        </w:rPr>
      </w:pPr>
      <w:r w:rsidRPr="00B53BDF">
        <w:rPr>
          <w:szCs w:val="20"/>
        </w:rPr>
        <w:t>Die Hochschule stellt ihren Wirtschaftsplan (WPL) nach der Haushaltssystematik für den Lande</w:t>
      </w:r>
      <w:r w:rsidRPr="00B53BDF">
        <w:rPr>
          <w:szCs w:val="20"/>
        </w:rPr>
        <w:t>s</w:t>
      </w:r>
      <w:r w:rsidRPr="00B53BDF">
        <w:rPr>
          <w:szCs w:val="20"/>
        </w:rPr>
        <w:t>haushalt und nach den Vorgaben des Ministeriums der Finanzen für die Anmeldung der Entwürfe zu den Haushaltsplänen in entsprechender Anwendung der Nr. 2.1 des Grundsatzerlasses zu den La</w:t>
      </w:r>
      <w:r w:rsidRPr="00B53BDF">
        <w:rPr>
          <w:szCs w:val="20"/>
        </w:rPr>
        <w:t>n</w:t>
      </w:r>
      <w:r w:rsidRPr="00B53BDF">
        <w:rPr>
          <w:szCs w:val="20"/>
        </w:rPr>
        <w:t>desbetrieben pp. (</w:t>
      </w:r>
      <w:proofErr w:type="spellStart"/>
      <w:r w:rsidRPr="00B53BDF">
        <w:rPr>
          <w:szCs w:val="20"/>
        </w:rPr>
        <w:t>RdErl</w:t>
      </w:r>
      <w:proofErr w:type="spellEnd"/>
      <w:r w:rsidRPr="00B53BDF">
        <w:rPr>
          <w:szCs w:val="20"/>
        </w:rPr>
        <w:t xml:space="preserve">. </w:t>
      </w:r>
      <w:r>
        <w:rPr>
          <w:szCs w:val="20"/>
        </w:rPr>
        <w:t xml:space="preserve">des </w:t>
      </w:r>
      <w:r w:rsidRPr="00B53BDF">
        <w:rPr>
          <w:szCs w:val="20"/>
        </w:rPr>
        <w:t xml:space="preserve">MF vom </w:t>
      </w:r>
      <w:r>
        <w:rPr>
          <w:szCs w:val="20"/>
        </w:rPr>
        <w:t>11.7.</w:t>
      </w:r>
      <w:r w:rsidRPr="00B53BDF">
        <w:rPr>
          <w:szCs w:val="20"/>
        </w:rPr>
        <w:t>201</w:t>
      </w:r>
      <w:r>
        <w:rPr>
          <w:szCs w:val="20"/>
        </w:rPr>
        <w:t xml:space="preserve">2 – </w:t>
      </w:r>
      <w:proofErr w:type="spellStart"/>
      <w:r>
        <w:rPr>
          <w:szCs w:val="20"/>
        </w:rPr>
        <w:t>MBl</w:t>
      </w:r>
      <w:proofErr w:type="spellEnd"/>
      <w:r>
        <w:rPr>
          <w:szCs w:val="20"/>
        </w:rPr>
        <w:t xml:space="preserve">. LSA S. 464) </w:t>
      </w:r>
      <w:r w:rsidRPr="00B53BDF">
        <w:rPr>
          <w:szCs w:val="20"/>
        </w:rPr>
        <w:t xml:space="preserve">auf. Der Wirtschaftsplan wird als Anlage zu den Zuschusstiteln im Landeshaushalt vom Landtag beschlossen und veröffentlicht. </w:t>
      </w:r>
    </w:p>
    <w:p w:rsidR="007917EC" w:rsidRPr="00B53BDF" w:rsidRDefault="007917EC" w:rsidP="007917EC">
      <w:pPr>
        <w:pStyle w:val="Anlafge2"/>
        <w:spacing w:before="240" w:after="120" w:line="312" w:lineRule="auto"/>
        <w:ind w:left="360" w:hanging="360"/>
        <w:rPr>
          <w:rFonts w:ascii="Arial" w:hAnsi="Arial" w:cs="Arial"/>
          <w:color w:val="auto"/>
          <w:szCs w:val="22"/>
        </w:rPr>
      </w:pPr>
      <w:r w:rsidRPr="00B53BDF">
        <w:rPr>
          <w:rFonts w:ascii="Arial" w:hAnsi="Arial" w:cs="Arial"/>
          <w:color w:val="auto"/>
          <w:szCs w:val="22"/>
        </w:rPr>
        <w:t xml:space="preserve">2. </w:t>
      </w:r>
      <w:r w:rsidRPr="00B53BDF">
        <w:rPr>
          <w:rFonts w:ascii="Arial" w:hAnsi="Arial" w:cs="Arial"/>
          <w:color w:val="auto"/>
          <w:szCs w:val="22"/>
        </w:rPr>
        <w:tab/>
        <w:t>Bewirtschaftung der Einnahmen und Ausgaben</w:t>
      </w:r>
    </w:p>
    <w:p w:rsidR="007917EC" w:rsidRPr="00B53BDF" w:rsidRDefault="007917EC" w:rsidP="007917EC">
      <w:pPr>
        <w:pStyle w:val="Aufzhlungszeichen"/>
        <w:numPr>
          <w:ilvl w:val="0"/>
          <w:numId w:val="0"/>
        </w:numPr>
        <w:tabs>
          <w:tab w:val="num" w:pos="1080"/>
        </w:tabs>
        <w:spacing w:after="120" w:line="312" w:lineRule="auto"/>
        <w:rPr>
          <w:rFonts w:ascii="Arial" w:hAnsi="Arial" w:cs="Arial"/>
          <w:sz w:val="20"/>
        </w:rPr>
      </w:pPr>
      <w:r w:rsidRPr="00B53BDF">
        <w:rPr>
          <w:rFonts w:ascii="Arial" w:hAnsi="Arial" w:cs="Arial"/>
          <w:sz w:val="20"/>
        </w:rPr>
        <w:t xml:space="preserve">Die für die Hochschule vorgesehenen Zuschüsse werden zur Finanzierung aller Hochschulausgaben zugewiesen (Grundsatz der Gesamtdeckung aller Ausgabemittel untereinander). </w:t>
      </w:r>
    </w:p>
    <w:p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Die von der Hochschule nach Maßgabe des jeweils geltenden Hochschulgesetzes und ev</w:t>
      </w:r>
      <w:r>
        <w:rPr>
          <w:rFonts w:ascii="Arial" w:hAnsi="Arial" w:cs="Arial"/>
          <w:sz w:val="20"/>
        </w:rPr>
        <w:t xml:space="preserve">entuell </w:t>
      </w:r>
      <w:r w:rsidRPr="00B53BDF">
        <w:rPr>
          <w:rFonts w:ascii="Arial" w:hAnsi="Arial" w:cs="Arial"/>
          <w:sz w:val="20"/>
        </w:rPr>
        <w:t>auf der Grundlage des Allgemeinen Verwaltungskostenverfahrensgesetzes erhobenen Gebühren und Entgelte stehen der Hochschule zusätzlich zum Budget als allgemeine Deckungsmittel zur Verfügung.</w:t>
      </w:r>
    </w:p>
    <w:p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 xml:space="preserve">Mehrausgaben sind durch Einsparungen aus dem verfügbaren Gesamtbudget zu erwirtschaften. </w:t>
      </w:r>
    </w:p>
    <w:p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Vom Grundsatz der Gesamtdeckung ausgenommen sind die durch gesonderten Haushaltsve</w:t>
      </w:r>
      <w:r w:rsidRPr="00B53BDF">
        <w:rPr>
          <w:rFonts w:ascii="Arial" w:hAnsi="Arial" w:cs="Arial"/>
          <w:sz w:val="20"/>
        </w:rPr>
        <w:t>r</w:t>
      </w:r>
      <w:r w:rsidRPr="00B53BDF">
        <w:rPr>
          <w:rFonts w:ascii="Arial" w:hAnsi="Arial" w:cs="Arial"/>
          <w:sz w:val="20"/>
        </w:rPr>
        <w:t>merk im Wirtschaftsplan der Hochschule ausgewiesenen Haushaltsstellen (z.</w:t>
      </w:r>
      <w:r>
        <w:rPr>
          <w:rFonts w:ascii="Arial" w:hAnsi="Arial" w:cs="Arial"/>
          <w:sz w:val="20"/>
        </w:rPr>
        <w:t> </w:t>
      </w:r>
      <w:r w:rsidRPr="00B53BDF">
        <w:rPr>
          <w:rFonts w:ascii="Arial" w:hAnsi="Arial" w:cs="Arial"/>
          <w:sz w:val="20"/>
        </w:rPr>
        <w:t>B. projektgebunden zugewiesene Mittel und Drittmittel). Die zweckgebundenen Projektzuweisungen werden mit Aufl</w:t>
      </w:r>
      <w:r w:rsidRPr="00B53BDF">
        <w:rPr>
          <w:rFonts w:ascii="Arial" w:hAnsi="Arial" w:cs="Arial"/>
          <w:sz w:val="20"/>
        </w:rPr>
        <w:t>a</w:t>
      </w:r>
      <w:r w:rsidRPr="00B53BDF">
        <w:rPr>
          <w:rFonts w:ascii="Arial" w:hAnsi="Arial" w:cs="Arial"/>
          <w:sz w:val="20"/>
        </w:rPr>
        <w:t>gen zur Qualitätssicherung und -kontrolle verbunden.</w:t>
      </w:r>
    </w:p>
    <w:p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Dem Grundsatz der Selbstversicherung entsprechend versichert das Land seine Risiken für Sch</w:t>
      </w:r>
      <w:r w:rsidRPr="00B53BDF">
        <w:rPr>
          <w:rFonts w:ascii="Arial" w:hAnsi="Arial" w:cs="Arial"/>
          <w:sz w:val="20"/>
        </w:rPr>
        <w:t>ä</w:t>
      </w:r>
      <w:r w:rsidRPr="00B53BDF">
        <w:rPr>
          <w:rFonts w:ascii="Arial" w:hAnsi="Arial" w:cs="Arial"/>
          <w:sz w:val="20"/>
        </w:rPr>
        <w:t>den und Vermögen nicht und trägt im Schadensfall die entstehenden Kosten aus Haushaltsmitteln (vgl. VV Nr. 11 zu § 34 LHO). An der Hochschule anfallende Ausgaben für Schadensfälle werden bis zu insgesamt 25.000 Euro im Haushaltsjahr aus dem Budget finanziert. Nachweise der Sch</w:t>
      </w:r>
      <w:r w:rsidRPr="00B53BDF">
        <w:rPr>
          <w:rFonts w:ascii="Arial" w:hAnsi="Arial" w:cs="Arial"/>
          <w:sz w:val="20"/>
        </w:rPr>
        <w:t>a</w:t>
      </w:r>
      <w:r w:rsidRPr="00B53BDF">
        <w:rPr>
          <w:rFonts w:ascii="Arial" w:hAnsi="Arial" w:cs="Arial"/>
          <w:sz w:val="20"/>
        </w:rPr>
        <w:t>densfälle einschließlich der vorgenommenen Regressprüfungen werden im Rahmen der Rec</w:t>
      </w:r>
      <w:r w:rsidRPr="00B53BDF">
        <w:rPr>
          <w:rFonts w:ascii="Arial" w:hAnsi="Arial" w:cs="Arial"/>
          <w:sz w:val="20"/>
        </w:rPr>
        <w:t>h</w:t>
      </w:r>
      <w:r w:rsidRPr="00B53BDF">
        <w:rPr>
          <w:rFonts w:ascii="Arial" w:hAnsi="Arial" w:cs="Arial"/>
          <w:sz w:val="20"/>
        </w:rPr>
        <w:t>nungslegung festgestellt.</w:t>
      </w:r>
    </w:p>
    <w:p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Am Jahresende nicht in Anspruch genommene Haushaltsmittel (Zuweisungen zum Budget, son</w:t>
      </w:r>
      <w:r w:rsidRPr="00B53BDF">
        <w:rPr>
          <w:rFonts w:ascii="Arial" w:hAnsi="Arial" w:cs="Arial"/>
          <w:sz w:val="20"/>
        </w:rPr>
        <w:t>s</w:t>
      </w:r>
      <w:r w:rsidRPr="00B53BDF">
        <w:rPr>
          <w:rFonts w:ascii="Arial" w:hAnsi="Arial" w:cs="Arial"/>
          <w:sz w:val="20"/>
        </w:rPr>
        <w:t xml:space="preserve">tige Einnahmen und </w:t>
      </w:r>
      <w:r>
        <w:rPr>
          <w:rFonts w:ascii="Arial" w:hAnsi="Arial" w:cs="Arial"/>
          <w:sz w:val="20"/>
        </w:rPr>
        <w:t>vorhaben</w:t>
      </w:r>
      <w:r w:rsidRPr="00B53BDF">
        <w:rPr>
          <w:rFonts w:ascii="Arial" w:hAnsi="Arial" w:cs="Arial"/>
          <w:sz w:val="20"/>
        </w:rPr>
        <w:t>bezogen zugewiesene Haushaltsmittel) werden von der Hochschule innerhalb der Laufzeit der Zielvereinbarung in voller Höhe in das Folgejahr übertragen und stehen ihr uneingeschränkt mit Beginn des neuen Haushaltsjahres für die jeweilige Zweckbestimmung zur Verfügung. Die Übertragung der nicht verbrauchten Mittel erfolgt zum Jahresabschluss ausgab</w:t>
      </w:r>
      <w:r w:rsidRPr="00B53BDF">
        <w:rPr>
          <w:rFonts w:ascii="Arial" w:hAnsi="Arial" w:cs="Arial"/>
          <w:sz w:val="20"/>
        </w:rPr>
        <w:t>e</w:t>
      </w:r>
      <w:r w:rsidRPr="00B53BDF">
        <w:rPr>
          <w:rFonts w:ascii="Arial" w:hAnsi="Arial" w:cs="Arial"/>
          <w:sz w:val="20"/>
        </w:rPr>
        <w:t>seitig als Übertrag in das Folgejahr und einnahmeseitig als Übertrag aus dem Vorjahr bei den en</w:t>
      </w:r>
      <w:r w:rsidRPr="00B53BDF">
        <w:rPr>
          <w:rFonts w:ascii="Arial" w:hAnsi="Arial" w:cs="Arial"/>
          <w:sz w:val="20"/>
        </w:rPr>
        <w:t>t</w:t>
      </w:r>
      <w:r w:rsidRPr="00B53BDF">
        <w:rPr>
          <w:rFonts w:ascii="Arial" w:hAnsi="Arial" w:cs="Arial"/>
          <w:sz w:val="20"/>
        </w:rPr>
        <w:t>sprechenden Haushaltsstellen im W</w:t>
      </w:r>
      <w:r>
        <w:rPr>
          <w:rFonts w:ascii="Arial" w:hAnsi="Arial" w:cs="Arial"/>
          <w:sz w:val="20"/>
        </w:rPr>
        <w:t>irtschaftsplan</w:t>
      </w:r>
      <w:r w:rsidRPr="00B53BDF">
        <w:rPr>
          <w:rFonts w:ascii="Arial" w:hAnsi="Arial" w:cs="Arial"/>
          <w:sz w:val="20"/>
        </w:rPr>
        <w:t xml:space="preserve"> der Hochschule.</w:t>
      </w:r>
    </w:p>
    <w:p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Land und Hochschule bekennen sich zu ihrer gemeinsamen Verantwortung für die Hochschulen</w:t>
      </w:r>
      <w:r w:rsidRPr="00B53BDF">
        <w:rPr>
          <w:rFonts w:ascii="Arial" w:hAnsi="Arial" w:cs="Arial"/>
          <w:sz w:val="20"/>
        </w:rPr>
        <w:t>t</w:t>
      </w:r>
      <w:r w:rsidRPr="00B53BDF">
        <w:rPr>
          <w:rFonts w:ascii="Arial" w:hAnsi="Arial" w:cs="Arial"/>
          <w:sz w:val="20"/>
        </w:rPr>
        <w:t xml:space="preserve">wicklung und verpflichten sich, im Rahmen ihrer finanziellen Möglichkeiten Förderprogramme des </w:t>
      </w:r>
      <w:r w:rsidRPr="00B53BDF">
        <w:rPr>
          <w:rFonts w:ascii="Arial" w:hAnsi="Arial" w:cs="Arial"/>
          <w:sz w:val="20"/>
        </w:rPr>
        <w:lastRenderedPageBreak/>
        <w:t>Bundes, der EU und anderer Förderinstitutionen mitzufinanzieren. Land und Hochschule stimmen Näheres im Einzelfall ab.</w:t>
      </w:r>
    </w:p>
    <w:p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In entsprechender Anwendung des § 25 Abs.</w:t>
      </w:r>
      <w:r>
        <w:rPr>
          <w:rFonts w:ascii="Arial" w:hAnsi="Arial" w:cs="Arial"/>
          <w:sz w:val="20"/>
        </w:rPr>
        <w:t> </w:t>
      </w:r>
      <w:r w:rsidRPr="00B53BDF">
        <w:rPr>
          <w:rFonts w:ascii="Arial" w:hAnsi="Arial" w:cs="Arial"/>
          <w:sz w:val="20"/>
        </w:rPr>
        <w:t xml:space="preserve">3 LHO gleicht die Hochschule Überschreitungen der verfügbaren Ausgaben  im Vereinbarungszeitraum vollständig aus. </w:t>
      </w:r>
    </w:p>
    <w:p w:rsidR="007917EC" w:rsidRPr="00B53BDF" w:rsidRDefault="007917EC" w:rsidP="007917EC">
      <w:pPr>
        <w:pStyle w:val="Anlafge2"/>
        <w:spacing w:before="240" w:after="120" w:line="312" w:lineRule="auto"/>
        <w:ind w:left="363" w:hanging="340"/>
        <w:rPr>
          <w:rFonts w:ascii="Arial" w:hAnsi="Arial" w:cs="Arial"/>
          <w:color w:val="auto"/>
          <w:szCs w:val="22"/>
        </w:rPr>
      </w:pPr>
      <w:r w:rsidRPr="00B53BDF">
        <w:rPr>
          <w:rFonts w:ascii="Arial" w:hAnsi="Arial" w:cs="Arial"/>
          <w:color w:val="auto"/>
          <w:szCs w:val="22"/>
        </w:rPr>
        <w:t xml:space="preserve">3. </w:t>
      </w:r>
      <w:r w:rsidRPr="00B53BDF">
        <w:rPr>
          <w:rFonts w:ascii="Arial" w:hAnsi="Arial" w:cs="Arial"/>
          <w:color w:val="auto"/>
          <w:szCs w:val="22"/>
        </w:rPr>
        <w:tab/>
        <w:t>Sonstige Bewirtschaftungsregelungen</w:t>
      </w:r>
    </w:p>
    <w:p w:rsidR="007917EC" w:rsidRPr="00B53BDF" w:rsidRDefault="007917EC" w:rsidP="007917EC">
      <w:pPr>
        <w:pStyle w:val="Textkrper"/>
        <w:tabs>
          <w:tab w:val="left" w:pos="5940"/>
        </w:tabs>
        <w:spacing w:before="240" w:line="312" w:lineRule="auto"/>
        <w:ind w:right="45"/>
        <w:rPr>
          <w:b/>
          <w:szCs w:val="20"/>
        </w:rPr>
      </w:pPr>
      <w:r w:rsidRPr="00B53BDF">
        <w:rPr>
          <w:b/>
          <w:szCs w:val="20"/>
        </w:rPr>
        <w:t xml:space="preserve">3.1. Überjährige Verwendung der nicht in Anspruch genommenen Mittel </w:t>
      </w:r>
    </w:p>
    <w:p w:rsidR="007917EC" w:rsidRPr="00B53BDF" w:rsidRDefault="007917EC" w:rsidP="007917EC">
      <w:pPr>
        <w:pStyle w:val="Textkrper"/>
        <w:spacing w:line="312" w:lineRule="auto"/>
        <w:rPr>
          <w:szCs w:val="20"/>
        </w:rPr>
      </w:pPr>
      <w:r w:rsidRPr="00B53BDF">
        <w:rPr>
          <w:szCs w:val="20"/>
        </w:rPr>
        <w:t xml:space="preserve">Nicht </w:t>
      </w:r>
      <w:r>
        <w:rPr>
          <w:szCs w:val="20"/>
        </w:rPr>
        <w:t xml:space="preserve">vorhabengebunden </w:t>
      </w:r>
      <w:r w:rsidRPr="00B53BDF">
        <w:rPr>
          <w:szCs w:val="20"/>
        </w:rPr>
        <w:t>übertragene Haushaltsmittel aus den Vorjahren stehen für alle Hochschu</w:t>
      </w:r>
      <w:r w:rsidRPr="00B53BDF">
        <w:rPr>
          <w:szCs w:val="20"/>
        </w:rPr>
        <w:t>l</w:t>
      </w:r>
      <w:r w:rsidRPr="00B53BDF">
        <w:rPr>
          <w:szCs w:val="20"/>
        </w:rPr>
        <w:t>zwecke zur Verfügung. Sofern nach den Regelungen des Landes bei der Bewirtschaftung und Ina</w:t>
      </w:r>
      <w:r w:rsidRPr="00B53BDF">
        <w:rPr>
          <w:szCs w:val="20"/>
        </w:rPr>
        <w:t>n</w:t>
      </w:r>
      <w:r w:rsidRPr="00B53BDF">
        <w:rPr>
          <w:szCs w:val="20"/>
        </w:rPr>
        <w:t>spruchnahme dieser Mittel andere fachlich zuständige Stellen des Landes zu beteiligen sind, stellt die Hochschule die erforderliche Beteiligung sicher. Nach Ablauf des Vereinbarungszeitraumes entsche</w:t>
      </w:r>
      <w:r w:rsidRPr="00B53BDF">
        <w:rPr>
          <w:szCs w:val="20"/>
        </w:rPr>
        <w:t>i</w:t>
      </w:r>
      <w:r w:rsidRPr="00B53BDF">
        <w:rPr>
          <w:szCs w:val="20"/>
        </w:rPr>
        <w:t xml:space="preserve">det das </w:t>
      </w:r>
      <w:r>
        <w:t>Ministerium für Wissenschaft und Wirtschaft</w:t>
      </w:r>
      <w:r w:rsidRPr="00B53BDF">
        <w:rPr>
          <w:szCs w:val="20"/>
        </w:rPr>
        <w:t xml:space="preserve"> im Einvernehmen mit der Hochschule über die weitere Verwendung der verbliebenen, nicht in Anspruch genommenen Mittel. </w:t>
      </w:r>
    </w:p>
    <w:p w:rsidR="007917EC" w:rsidRPr="00B53BDF" w:rsidRDefault="007917EC" w:rsidP="007917EC">
      <w:pPr>
        <w:pStyle w:val="Textkrper"/>
        <w:spacing w:line="312" w:lineRule="auto"/>
        <w:rPr>
          <w:szCs w:val="20"/>
        </w:rPr>
      </w:pPr>
      <w:r w:rsidRPr="00B53BDF">
        <w:rPr>
          <w:szCs w:val="20"/>
        </w:rPr>
        <w:t xml:space="preserve">Für </w:t>
      </w:r>
      <w:r>
        <w:rPr>
          <w:szCs w:val="20"/>
        </w:rPr>
        <w:t>vorhaben</w:t>
      </w:r>
      <w:r w:rsidRPr="00B53BDF">
        <w:rPr>
          <w:szCs w:val="20"/>
        </w:rPr>
        <w:t>gebunde</w:t>
      </w:r>
      <w:r>
        <w:rPr>
          <w:szCs w:val="20"/>
        </w:rPr>
        <w:t>n</w:t>
      </w:r>
      <w:r w:rsidRPr="00B53BDF">
        <w:rPr>
          <w:szCs w:val="20"/>
        </w:rPr>
        <w:t xml:space="preserve"> übertragene Haushaltsmittel, Drittmittel und sonstige zweckgebundene Mittel gelten die dazu erlassenen Regelungen.</w:t>
      </w:r>
    </w:p>
    <w:p w:rsidR="007917EC" w:rsidRPr="00B53BDF" w:rsidRDefault="007917EC" w:rsidP="007917EC">
      <w:pPr>
        <w:pStyle w:val="Textkrper"/>
        <w:tabs>
          <w:tab w:val="left" w:pos="5940"/>
        </w:tabs>
        <w:spacing w:before="240" w:line="312" w:lineRule="auto"/>
        <w:ind w:right="45"/>
        <w:rPr>
          <w:b/>
          <w:szCs w:val="20"/>
        </w:rPr>
      </w:pPr>
      <w:r w:rsidRPr="00B53BDF">
        <w:rPr>
          <w:b/>
          <w:szCs w:val="20"/>
        </w:rPr>
        <w:t>3.2. Kfz-Beschaffung</w:t>
      </w:r>
    </w:p>
    <w:p w:rsidR="007917EC" w:rsidRPr="00B53BDF" w:rsidRDefault="007917EC" w:rsidP="007917EC">
      <w:pPr>
        <w:pStyle w:val="Textkrper"/>
        <w:spacing w:line="312" w:lineRule="auto"/>
        <w:rPr>
          <w:szCs w:val="20"/>
        </w:rPr>
      </w:pPr>
      <w:r w:rsidRPr="00B53BDF">
        <w:rPr>
          <w:szCs w:val="20"/>
        </w:rPr>
        <w:t>Die Beschaffung von Ersatzfahrzeugen (Dienst-Kfz), die durch unvorhergesehene Umstände notwe</w:t>
      </w:r>
      <w:r w:rsidRPr="00B53BDF">
        <w:rPr>
          <w:szCs w:val="20"/>
        </w:rPr>
        <w:t>n</w:t>
      </w:r>
      <w:r w:rsidRPr="00B53BDF">
        <w:rPr>
          <w:szCs w:val="20"/>
        </w:rPr>
        <w:t>dig geworden ist, kann die Hochschule im Rahmen der verfügbaren Budgetmittel unter Beachtung der Kraftfahrzeugrichtlinie</w:t>
      </w:r>
      <w:r>
        <w:rPr>
          <w:szCs w:val="20"/>
        </w:rPr>
        <w:t>n</w:t>
      </w:r>
      <w:r w:rsidRPr="00B53BDF">
        <w:rPr>
          <w:szCs w:val="20"/>
        </w:rPr>
        <w:t xml:space="preserve"> (</w:t>
      </w:r>
      <w:proofErr w:type="spellStart"/>
      <w:r w:rsidRPr="00B53BDF">
        <w:rPr>
          <w:szCs w:val="20"/>
        </w:rPr>
        <w:t>KfzR</w:t>
      </w:r>
      <w:proofErr w:type="spellEnd"/>
      <w:r>
        <w:rPr>
          <w:szCs w:val="20"/>
        </w:rPr>
        <w:t>) –</w:t>
      </w:r>
      <w:r w:rsidRPr="00B53BDF">
        <w:rPr>
          <w:szCs w:val="20"/>
        </w:rPr>
        <w:t xml:space="preserve"> </w:t>
      </w:r>
      <w:proofErr w:type="spellStart"/>
      <w:r w:rsidRPr="00B53BDF">
        <w:rPr>
          <w:szCs w:val="20"/>
        </w:rPr>
        <w:t>RdErl</w:t>
      </w:r>
      <w:proofErr w:type="spellEnd"/>
      <w:r w:rsidRPr="00B53BDF">
        <w:rPr>
          <w:szCs w:val="20"/>
        </w:rPr>
        <w:t>. des MF vom 08.11.2002 (</w:t>
      </w:r>
      <w:proofErr w:type="spellStart"/>
      <w:r w:rsidRPr="00B53BDF">
        <w:rPr>
          <w:szCs w:val="20"/>
        </w:rPr>
        <w:t>MBl</w:t>
      </w:r>
      <w:proofErr w:type="spellEnd"/>
      <w:r w:rsidRPr="00B53BDF">
        <w:rPr>
          <w:szCs w:val="20"/>
        </w:rPr>
        <w:t xml:space="preserve">. LSA 2002, S. 1229), zuletzt geändert durch </w:t>
      </w:r>
      <w:proofErr w:type="spellStart"/>
      <w:r>
        <w:rPr>
          <w:szCs w:val="20"/>
        </w:rPr>
        <w:t>RdErl</w:t>
      </w:r>
      <w:proofErr w:type="spellEnd"/>
      <w:r>
        <w:rPr>
          <w:szCs w:val="20"/>
        </w:rPr>
        <w:t xml:space="preserve">. des MF vom 3.2.2014 </w:t>
      </w:r>
      <w:r w:rsidRPr="00B53BDF">
        <w:rPr>
          <w:szCs w:val="20"/>
        </w:rPr>
        <w:t>(</w:t>
      </w:r>
      <w:proofErr w:type="spellStart"/>
      <w:r w:rsidRPr="00B53BDF">
        <w:rPr>
          <w:szCs w:val="20"/>
        </w:rPr>
        <w:t>MBl</w:t>
      </w:r>
      <w:proofErr w:type="spellEnd"/>
      <w:r w:rsidRPr="00B53BDF">
        <w:rPr>
          <w:szCs w:val="20"/>
        </w:rPr>
        <w:t xml:space="preserve">. LSA S. </w:t>
      </w:r>
      <w:r>
        <w:rPr>
          <w:szCs w:val="20"/>
        </w:rPr>
        <w:t>127</w:t>
      </w:r>
      <w:r w:rsidRPr="00B53BDF">
        <w:rPr>
          <w:szCs w:val="20"/>
        </w:rPr>
        <w:t>) in eigener Zuständigkeit vornehmen. Die entsprechenden Nachweise sind im Rahmen der Finanzberichterstattung und im nächsten Wir</w:t>
      </w:r>
      <w:r w:rsidRPr="00B53BDF">
        <w:rPr>
          <w:szCs w:val="20"/>
        </w:rPr>
        <w:t>t</w:t>
      </w:r>
      <w:r w:rsidRPr="00B53BDF">
        <w:rPr>
          <w:szCs w:val="20"/>
        </w:rPr>
        <w:t>schaft</w:t>
      </w:r>
      <w:r>
        <w:rPr>
          <w:szCs w:val="20"/>
        </w:rPr>
        <w:t>s</w:t>
      </w:r>
      <w:r w:rsidRPr="00B53BDF">
        <w:rPr>
          <w:szCs w:val="20"/>
        </w:rPr>
        <w:t xml:space="preserve">plan vorzunehmen. </w:t>
      </w:r>
    </w:p>
    <w:p w:rsidR="007917EC" w:rsidRPr="00B53BDF" w:rsidRDefault="007917EC" w:rsidP="007917EC">
      <w:pPr>
        <w:pStyle w:val="Textkrper"/>
        <w:tabs>
          <w:tab w:val="left" w:pos="5940"/>
        </w:tabs>
        <w:spacing w:before="240" w:line="312" w:lineRule="auto"/>
        <w:ind w:right="45"/>
        <w:rPr>
          <w:b/>
          <w:szCs w:val="20"/>
        </w:rPr>
      </w:pPr>
      <w:r w:rsidRPr="00B53BDF">
        <w:rPr>
          <w:b/>
          <w:szCs w:val="20"/>
        </w:rPr>
        <w:t>3.3. Stellenwirtschaftliche Regelungen</w:t>
      </w:r>
    </w:p>
    <w:p w:rsidR="007917EC" w:rsidRPr="00B53BDF" w:rsidRDefault="007917EC" w:rsidP="007917EC">
      <w:pPr>
        <w:pStyle w:val="Aufzhlungszeichen"/>
        <w:numPr>
          <w:ilvl w:val="0"/>
          <w:numId w:val="13"/>
        </w:numPr>
        <w:spacing w:after="120" w:line="312" w:lineRule="auto"/>
        <w:ind w:left="342" w:hanging="342"/>
        <w:rPr>
          <w:rFonts w:ascii="Arial" w:hAnsi="Arial" w:cs="Arial"/>
          <w:sz w:val="20"/>
        </w:rPr>
      </w:pPr>
      <w:r w:rsidRPr="00B53BDF">
        <w:rPr>
          <w:rFonts w:ascii="Arial" w:hAnsi="Arial" w:cs="Arial"/>
          <w:sz w:val="20"/>
        </w:rPr>
        <w:t>Abweichungen von § 49 Abs. 7 LHO werden nur unter den Voraussetzungen eines unabweisbar vordringlichen Personalbedarfs im Einvernehmen der für das betroffene Kapitel zuständigen B</w:t>
      </w:r>
      <w:r w:rsidRPr="00B53BDF">
        <w:rPr>
          <w:rFonts w:ascii="Arial" w:hAnsi="Arial" w:cs="Arial"/>
          <w:sz w:val="20"/>
        </w:rPr>
        <w:t>e</w:t>
      </w:r>
      <w:r w:rsidRPr="00B53BDF">
        <w:rPr>
          <w:rFonts w:ascii="Arial" w:hAnsi="Arial" w:cs="Arial"/>
          <w:sz w:val="20"/>
        </w:rPr>
        <w:t xml:space="preserve">auftragten für den Haushalt zugelassen. Unter der Voraussetzung entsprechender gesetzlicher Ermächtigungen gilt die notwendige Einwilligung des MF als erteilt, wenn die Umsetzung des Hochschulstrukturplanes nicht beeinträchtigt ist. Die tarifgerechten Eingruppierungen sind anhand einer Arbeitsplatzbeschreibung und dokumentierten Bewertung durch den Kanzler sicherzustellen. Die Ausbringung neuer Stellen für Tarifbeschäftigte ist auf den Einzelfall und auf die Dauer der Vereinbarung begrenzt. Die Ausweisung erfolgt in der Titelgruppe 96 mit einem neuen </w:t>
      </w:r>
      <w:proofErr w:type="spellStart"/>
      <w:r w:rsidRPr="00B53BDF">
        <w:rPr>
          <w:rFonts w:ascii="Arial" w:hAnsi="Arial" w:cs="Arial"/>
          <w:sz w:val="20"/>
        </w:rPr>
        <w:t>kw</w:t>
      </w:r>
      <w:proofErr w:type="spellEnd"/>
      <w:r w:rsidRPr="00B53BDF">
        <w:rPr>
          <w:rFonts w:ascii="Arial" w:hAnsi="Arial" w:cs="Arial"/>
          <w:sz w:val="20"/>
        </w:rPr>
        <w:t>-Vermerk „</w:t>
      </w:r>
      <w:proofErr w:type="spellStart"/>
      <w:r w:rsidRPr="00B53BDF">
        <w:rPr>
          <w:rFonts w:ascii="Arial" w:hAnsi="Arial" w:cs="Arial"/>
          <w:sz w:val="20"/>
        </w:rPr>
        <w:t>kw</w:t>
      </w:r>
      <w:proofErr w:type="spellEnd"/>
      <w:r w:rsidRPr="00B53BDF">
        <w:rPr>
          <w:rFonts w:ascii="Arial" w:hAnsi="Arial" w:cs="Arial"/>
          <w:sz w:val="20"/>
        </w:rPr>
        <w:t xml:space="preserve"> zum .......“.  </w:t>
      </w:r>
    </w:p>
    <w:p w:rsidR="007917EC" w:rsidRPr="00B53BDF" w:rsidRDefault="007917EC" w:rsidP="007917EC">
      <w:pPr>
        <w:pStyle w:val="Aufzhlungszeichen"/>
        <w:numPr>
          <w:ilvl w:val="0"/>
          <w:numId w:val="13"/>
        </w:numPr>
        <w:spacing w:after="120" w:line="312" w:lineRule="auto"/>
        <w:ind w:left="342" w:hanging="342"/>
        <w:rPr>
          <w:rFonts w:ascii="Arial" w:hAnsi="Arial" w:cs="Arial"/>
          <w:sz w:val="20"/>
        </w:rPr>
      </w:pPr>
      <w:r w:rsidRPr="00B53BDF">
        <w:rPr>
          <w:rFonts w:ascii="Arial" w:hAnsi="Arial" w:cs="Arial"/>
          <w:sz w:val="20"/>
        </w:rPr>
        <w:t>Die Hochschule wird ermächtigt, über die in der Zweiten Anlage zum Haushaltsgesetz 201</w:t>
      </w:r>
      <w:r>
        <w:rPr>
          <w:rFonts w:ascii="Arial" w:hAnsi="Arial" w:cs="Arial"/>
          <w:sz w:val="20"/>
        </w:rPr>
        <w:t xml:space="preserve">5/2016 </w:t>
      </w:r>
      <w:r w:rsidRPr="00B53BDF">
        <w:rPr>
          <w:rFonts w:ascii="Arial" w:hAnsi="Arial" w:cs="Arial"/>
          <w:sz w:val="20"/>
        </w:rPr>
        <w:t>„Allgemeine Bestimmungen zu den Stellenplänen, Stellenübersichten und Bedarfsnachweisen für d</w:t>
      </w:r>
      <w:r>
        <w:rPr>
          <w:rFonts w:ascii="Arial" w:hAnsi="Arial" w:cs="Arial"/>
          <w:sz w:val="20"/>
        </w:rPr>
        <w:t>ie</w:t>
      </w:r>
      <w:r w:rsidRPr="00B53BDF">
        <w:rPr>
          <w:rFonts w:ascii="Arial" w:hAnsi="Arial" w:cs="Arial"/>
          <w:sz w:val="20"/>
        </w:rPr>
        <w:t xml:space="preserve"> Haushaltsjahr</w:t>
      </w:r>
      <w:r>
        <w:rPr>
          <w:rFonts w:ascii="Arial" w:hAnsi="Arial" w:cs="Arial"/>
          <w:sz w:val="20"/>
        </w:rPr>
        <w:t>e</w:t>
      </w:r>
      <w:r w:rsidRPr="00B53BDF">
        <w:rPr>
          <w:rFonts w:ascii="Arial" w:hAnsi="Arial" w:cs="Arial"/>
          <w:sz w:val="20"/>
        </w:rPr>
        <w:t xml:space="preserve"> 201</w:t>
      </w:r>
      <w:r>
        <w:rPr>
          <w:rFonts w:ascii="Arial" w:hAnsi="Arial" w:cs="Arial"/>
          <w:sz w:val="20"/>
        </w:rPr>
        <w:t>5 und 2016</w:t>
      </w:r>
      <w:r w:rsidRPr="00B53BDF">
        <w:rPr>
          <w:rFonts w:ascii="Arial" w:hAnsi="Arial" w:cs="Arial"/>
          <w:sz w:val="20"/>
        </w:rPr>
        <w:t>“ geregelten Tatbestände mit Ausnahme der Nr. 1 Abs. 2 und Nr. 4 in eigener Zuständigkeit zu entscheiden. Die für Nr. 1 Abs. 2 mit Erlass des Kultusminister</w:t>
      </w:r>
      <w:r w:rsidRPr="00B53BDF">
        <w:rPr>
          <w:rFonts w:ascii="Arial" w:hAnsi="Arial" w:cs="Arial"/>
          <w:sz w:val="20"/>
        </w:rPr>
        <w:t>i</w:t>
      </w:r>
      <w:r w:rsidRPr="00B53BDF">
        <w:rPr>
          <w:rFonts w:ascii="Arial" w:hAnsi="Arial" w:cs="Arial"/>
          <w:sz w:val="20"/>
        </w:rPr>
        <w:t>ums vom 29. Dezember 2005 getroffene Regelung gilt fort</w:t>
      </w:r>
      <w:r w:rsidRPr="00B53BDF">
        <w:rPr>
          <w:rFonts w:ascii="Arial" w:hAnsi="Arial" w:cs="Arial"/>
          <w:i/>
          <w:sz w:val="20"/>
        </w:rPr>
        <w:t xml:space="preserve">. </w:t>
      </w:r>
      <w:r w:rsidRPr="00B53BDF">
        <w:rPr>
          <w:rFonts w:ascii="Arial" w:hAnsi="Arial" w:cs="Arial"/>
          <w:sz w:val="20"/>
        </w:rPr>
        <w:t>Unter der Voraussetzung entspr</w:t>
      </w:r>
      <w:r w:rsidRPr="00B53BDF">
        <w:rPr>
          <w:rFonts w:ascii="Arial" w:hAnsi="Arial" w:cs="Arial"/>
          <w:sz w:val="20"/>
        </w:rPr>
        <w:t>e</w:t>
      </w:r>
      <w:r w:rsidRPr="00B53BDF">
        <w:rPr>
          <w:rFonts w:ascii="Arial" w:hAnsi="Arial" w:cs="Arial"/>
          <w:sz w:val="20"/>
        </w:rPr>
        <w:t xml:space="preserve">chender gesetzlicher Ermächtigungen gilt die notwendige Einwilligung des Finanzministeriums als erteilt, wenn die Umsetzung des Hochschulstrukturplanes nicht beeinträchtigt ist. Entsprechende Stellen und Vermerke sind in der </w:t>
      </w:r>
      <w:proofErr w:type="spellStart"/>
      <w:r w:rsidRPr="00B53BDF">
        <w:rPr>
          <w:rFonts w:ascii="Arial" w:hAnsi="Arial" w:cs="Arial"/>
          <w:sz w:val="20"/>
        </w:rPr>
        <w:t>TG</w:t>
      </w:r>
      <w:r>
        <w:rPr>
          <w:rFonts w:ascii="Arial" w:hAnsi="Arial" w:cs="Arial"/>
          <w:sz w:val="20"/>
        </w:rPr>
        <w:t>r</w:t>
      </w:r>
      <w:proofErr w:type="spellEnd"/>
      <w:r>
        <w:rPr>
          <w:rFonts w:ascii="Arial" w:hAnsi="Arial" w:cs="Arial"/>
          <w:sz w:val="20"/>
        </w:rPr>
        <w:t>.</w:t>
      </w:r>
      <w:r w:rsidRPr="00B53BDF">
        <w:rPr>
          <w:rFonts w:ascii="Arial" w:hAnsi="Arial" w:cs="Arial"/>
          <w:sz w:val="20"/>
        </w:rPr>
        <w:t xml:space="preserve"> 96 auszubringen (Leerstellen sind unverändert zu vera</w:t>
      </w:r>
      <w:r w:rsidRPr="00B53BDF">
        <w:rPr>
          <w:rFonts w:ascii="Arial" w:hAnsi="Arial" w:cs="Arial"/>
          <w:sz w:val="20"/>
        </w:rPr>
        <w:t>n</w:t>
      </w:r>
      <w:r w:rsidRPr="00B53BDF">
        <w:rPr>
          <w:rFonts w:ascii="Arial" w:hAnsi="Arial" w:cs="Arial"/>
          <w:sz w:val="20"/>
        </w:rPr>
        <w:t>schlagen).</w:t>
      </w:r>
    </w:p>
    <w:p w:rsidR="007917EC" w:rsidRPr="00B53BDF" w:rsidRDefault="007917EC" w:rsidP="007917EC">
      <w:pPr>
        <w:pStyle w:val="Aufzhlungszeichen"/>
        <w:numPr>
          <w:ilvl w:val="0"/>
          <w:numId w:val="13"/>
        </w:numPr>
        <w:spacing w:after="120" w:line="312" w:lineRule="auto"/>
        <w:ind w:left="342" w:hanging="342"/>
        <w:rPr>
          <w:rFonts w:ascii="Arial" w:hAnsi="Arial" w:cs="Arial"/>
          <w:sz w:val="20"/>
        </w:rPr>
      </w:pPr>
      <w:r w:rsidRPr="00B53BDF">
        <w:rPr>
          <w:rFonts w:ascii="Arial" w:hAnsi="Arial" w:cs="Arial"/>
          <w:sz w:val="20"/>
        </w:rPr>
        <w:t xml:space="preserve">Die befristeten Abweichungen im Sinne des § 49 </w:t>
      </w:r>
      <w:r>
        <w:rPr>
          <w:rFonts w:ascii="Arial" w:hAnsi="Arial" w:cs="Arial"/>
          <w:sz w:val="20"/>
        </w:rPr>
        <w:t>Abs. 7</w:t>
      </w:r>
      <w:r w:rsidRPr="00B53BDF">
        <w:rPr>
          <w:rFonts w:ascii="Arial" w:hAnsi="Arial" w:cs="Arial"/>
          <w:sz w:val="20"/>
        </w:rPr>
        <w:t xml:space="preserve"> LHO und der Allgemeinen Bestimmungen werden zugelassen, sofern keine Investitionsmittel (HG 7 und 8) zur Deckung der Personalausg</w:t>
      </w:r>
      <w:r w:rsidRPr="00B53BDF">
        <w:rPr>
          <w:rFonts w:ascii="Arial" w:hAnsi="Arial" w:cs="Arial"/>
          <w:sz w:val="20"/>
        </w:rPr>
        <w:t>a</w:t>
      </w:r>
      <w:r w:rsidRPr="00B53BDF">
        <w:rPr>
          <w:rFonts w:ascii="Arial" w:hAnsi="Arial" w:cs="Arial"/>
          <w:sz w:val="20"/>
        </w:rPr>
        <w:lastRenderedPageBreak/>
        <w:t xml:space="preserve">ben (HG 4) herangezogen werden. Die Veränderungen der Anzahl und der Wertigkeit der Stellen sind dem </w:t>
      </w:r>
      <w:r>
        <w:rPr>
          <w:rFonts w:ascii="Arial" w:hAnsi="Arial" w:cs="Arial"/>
          <w:sz w:val="20"/>
        </w:rPr>
        <w:t xml:space="preserve">Ministerium für Wissenschaft und Wirtschaft </w:t>
      </w:r>
      <w:r w:rsidRPr="00B53BDF">
        <w:rPr>
          <w:rFonts w:ascii="Arial" w:hAnsi="Arial" w:cs="Arial"/>
          <w:sz w:val="20"/>
        </w:rPr>
        <w:t xml:space="preserve">anzuzeigen und im nächsten Haushaltsplan auszuweisen. </w:t>
      </w:r>
    </w:p>
    <w:p w:rsidR="007917EC" w:rsidRPr="00B53BDF" w:rsidRDefault="007917EC" w:rsidP="007917EC">
      <w:pPr>
        <w:pStyle w:val="Aufzhlungszeichen"/>
        <w:numPr>
          <w:ilvl w:val="0"/>
          <w:numId w:val="13"/>
        </w:numPr>
        <w:spacing w:after="120" w:line="312" w:lineRule="auto"/>
        <w:ind w:left="342" w:hanging="342"/>
        <w:rPr>
          <w:rFonts w:ascii="Arial" w:hAnsi="Arial" w:cs="Arial"/>
          <w:sz w:val="20"/>
        </w:rPr>
      </w:pPr>
      <w:r w:rsidRPr="00B53BDF">
        <w:rPr>
          <w:rFonts w:ascii="Arial" w:hAnsi="Arial" w:cs="Arial"/>
          <w:sz w:val="20"/>
        </w:rPr>
        <w:t>Der Erlass des Kultusministeriums vom 19. Januar 2006 für die Berichterstattung zu den stelle</w:t>
      </w:r>
      <w:r w:rsidRPr="00B53BDF">
        <w:rPr>
          <w:rFonts w:ascii="Arial" w:hAnsi="Arial" w:cs="Arial"/>
          <w:sz w:val="20"/>
        </w:rPr>
        <w:t>n</w:t>
      </w:r>
      <w:r w:rsidRPr="00B53BDF">
        <w:rPr>
          <w:rFonts w:ascii="Arial" w:hAnsi="Arial" w:cs="Arial"/>
          <w:sz w:val="20"/>
        </w:rPr>
        <w:t xml:space="preserve">wirtschaftlichen Regelungen gilt hinsichtlich der getroffenen Verfahrensregelungen fort. </w:t>
      </w:r>
    </w:p>
    <w:p w:rsidR="007917EC" w:rsidRPr="00B53BDF" w:rsidRDefault="007917EC" w:rsidP="007917EC">
      <w:pPr>
        <w:pStyle w:val="Anlafge2"/>
        <w:spacing w:before="240" w:after="120" w:line="312" w:lineRule="auto"/>
        <w:ind w:left="0" w:firstLine="0"/>
        <w:rPr>
          <w:rFonts w:ascii="Arial" w:hAnsi="Arial" w:cs="Arial"/>
          <w:color w:val="auto"/>
          <w:szCs w:val="22"/>
        </w:rPr>
      </w:pPr>
      <w:r w:rsidRPr="00B53BDF">
        <w:rPr>
          <w:rFonts w:ascii="Arial" w:hAnsi="Arial" w:cs="Arial"/>
          <w:color w:val="auto"/>
          <w:szCs w:val="22"/>
        </w:rPr>
        <w:t>4. Hinweise zum Zahlungsverkehr und zum Jahresabschluss</w:t>
      </w:r>
    </w:p>
    <w:p w:rsidR="007917EC" w:rsidRPr="00B53BDF" w:rsidRDefault="007917EC" w:rsidP="007917EC">
      <w:pPr>
        <w:pStyle w:val="Textkrper"/>
        <w:spacing w:line="312" w:lineRule="auto"/>
        <w:rPr>
          <w:szCs w:val="20"/>
        </w:rPr>
      </w:pPr>
      <w:r w:rsidRPr="00B53BDF">
        <w:rPr>
          <w:szCs w:val="20"/>
        </w:rPr>
        <w:t>Die Hochschule bewirtschaftet alle an der Einrichtung zu verwaltenden Einnahmen und Ausgaben in eigener Zuständigkeit und außerhalb des Landeshaushaltes. Der Betrieb der hochschuleigenen Zah</w:t>
      </w:r>
      <w:r w:rsidRPr="00B53BDF">
        <w:rPr>
          <w:szCs w:val="20"/>
        </w:rPr>
        <w:t>l</w:t>
      </w:r>
      <w:r w:rsidRPr="00B53BDF">
        <w:rPr>
          <w:szCs w:val="20"/>
        </w:rPr>
        <w:t>stelle erfolgt auf der Grundlage der hierzu erlassenen Dienstanweisung. Änderungen und Ergänzu</w:t>
      </w:r>
      <w:r w:rsidRPr="00B53BDF">
        <w:rPr>
          <w:szCs w:val="20"/>
        </w:rPr>
        <w:t>n</w:t>
      </w:r>
      <w:r w:rsidRPr="00B53BDF">
        <w:rPr>
          <w:szCs w:val="20"/>
        </w:rPr>
        <w:t xml:space="preserve">gen zur Dienstanweisung sind dem </w:t>
      </w:r>
      <w:r>
        <w:t>Ministerium für Wissenschaft und Wirtschaft</w:t>
      </w:r>
      <w:r w:rsidRPr="00B53BDF">
        <w:rPr>
          <w:szCs w:val="20"/>
        </w:rPr>
        <w:t xml:space="preserve"> anzuzeigen und zu genehmigen.</w:t>
      </w:r>
    </w:p>
    <w:p w:rsidR="007917EC" w:rsidRPr="00DE3532" w:rsidRDefault="007917EC" w:rsidP="007917EC">
      <w:pPr>
        <w:pStyle w:val="Textkrper"/>
        <w:spacing w:line="312" w:lineRule="auto"/>
        <w:rPr>
          <w:szCs w:val="20"/>
        </w:rPr>
      </w:pPr>
      <w:r w:rsidRPr="00B53BDF">
        <w:rPr>
          <w:szCs w:val="20"/>
        </w:rPr>
        <w:t>Die Beiträge zur Rechnungslegung und die Berichterstattung zum Jahresabschluss richten sich nach den Regelungen des Landes, soweit nicht gesondert geregelt.</w:t>
      </w:r>
    </w:p>
    <w:p w:rsidR="007917EC" w:rsidRDefault="007917EC" w:rsidP="007917EC">
      <w:pPr>
        <w:rPr>
          <w:rFonts w:eastAsia="Times New Roman"/>
        </w:rPr>
      </w:pPr>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441"/>
        <w:gridCol w:w="3680"/>
        <w:gridCol w:w="288"/>
        <w:gridCol w:w="568"/>
        <w:gridCol w:w="607"/>
        <w:gridCol w:w="607"/>
        <w:gridCol w:w="608"/>
        <w:gridCol w:w="607"/>
        <w:gridCol w:w="608"/>
        <w:gridCol w:w="607"/>
        <w:gridCol w:w="608"/>
      </w:tblGrid>
      <w:tr w:rsidR="007917EC" w:rsidRPr="00D90FB9" w:rsidTr="007917EC">
        <w:trPr>
          <w:trHeight w:val="255"/>
        </w:trPr>
        <w:tc>
          <w:tcPr>
            <w:tcW w:w="9229" w:type="dxa"/>
            <w:gridSpan w:val="11"/>
            <w:tcBorders>
              <w:top w:val="nil"/>
              <w:left w:val="nil"/>
              <w:bottom w:val="nil"/>
              <w:right w:val="nil"/>
            </w:tcBorders>
            <w:shd w:val="clear" w:color="auto" w:fill="auto"/>
            <w:noWrap/>
            <w:vAlign w:val="center"/>
            <w:hideMark/>
          </w:tcPr>
          <w:p w:rsidR="007917EC" w:rsidRPr="00D90FB9" w:rsidRDefault="007917EC" w:rsidP="007917EC">
            <w:pPr>
              <w:keepNext/>
              <w:autoSpaceDE w:val="0"/>
              <w:autoSpaceDN w:val="0"/>
              <w:adjustRightInd w:val="0"/>
              <w:spacing w:after="120"/>
              <w:jc w:val="right"/>
              <w:outlineLvl w:val="2"/>
              <w:rPr>
                <w:rFonts w:eastAsia="Times New Roman"/>
                <w:b/>
                <w:bCs/>
                <w:sz w:val="24"/>
                <w:szCs w:val="24"/>
              </w:rPr>
            </w:pPr>
            <w:r w:rsidRPr="00DC71CE">
              <w:rPr>
                <w:b/>
                <w:bCs/>
                <w:caps/>
                <w:sz w:val="24"/>
                <w:szCs w:val="24"/>
              </w:rPr>
              <w:lastRenderedPageBreak/>
              <w:t>Anlage 3</w:t>
            </w:r>
          </w:p>
        </w:tc>
      </w:tr>
      <w:tr w:rsidR="007917EC" w:rsidRPr="00D90FB9" w:rsidTr="007917EC">
        <w:trPr>
          <w:trHeight w:val="375"/>
        </w:trPr>
        <w:tc>
          <w:tcPr>
            <w:tcW w:w="9229" w:type="dxa"/>
            <w:gridSpan w:val="11"/>
            <w:tcBorders>
              <w:top w:val="nil"/>
              <w:left w:val="nil"/>
              <w:bottom w:val="single" w:sz="4" w:space="0" w:color="auto"/>
              <w:right w:val="nil"/>
            </w:tcBorders>
            <w:shd w:val="clear" w:color="auto" w:fill="auto"/>
            <w:noWrap/>
            <w:vAlign w:val="bottom"/>
            <w:hideMark/>
          </w:tcPr>
          <w:p w:rsidR="007917EC" w:rsidRPr="00D90FB9" w:rsidRDefault="007917EC" w:rsidP="007917EC">
            <w:pPr>
              <w:spacing w:after="480"/>
              <w:jc w:val="center"/>
              <w:rPr>
                <w:rFonts w:eastAsia="Times New Roman"/>
                <w:b/>
                <w:bCs/>
                <w:sz w:val="22"/>
              </w:rPr>
            </w:pPr>
            <w:r w:rsidRPr="00116A9C">
              <w:rPr>
                <w:b/>
                <w:sz w:val="24"/>
                <w:szCs w:val="24"/>
              </w:rPr>
              <w:t>Berichterstattung Jahr: Hochschulen des Landes im quantitativen Vergleich</w:t>
            </w:r>
          </w:p>
        </w:tc>
      </w:tr>
      <w:tr w:rsidR="007917EC" w:rsidRPr="00D90FB9" w:rsidTr="007917EC">
        <w:trPr>
          <w:trHeight w:val="7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Nr.</w:t>
            </w:r>
          </w:p>
        </w:tc>
        <w:tc>
          <w:tcPr>
            <w:tcW w:w="3680" w:type="dxa"/>
            <w:tcBorders>
              <w:top w:val="nil"/>
              <w:left w:val="nil"/>
              <w:bottom w:val="single" w:sz="4" w:space="0" w:color="auto"/>
              <w:right w:val="nil"/>
            </w:tcBorders>
            <w:shd w:val="clear" w:color="auto" w:fill="auto"/>
            <w:noWrap/>
            <w:vAlign w:val="center"/>
            <w:hideMark/>
          </w:tcPr>
          <w:p w:rsidR="007917EC" w:rsidRPr="00D90FB9" w:rsidRDefault="007917EC" w:rsidP="007917EC">
            <w:pPr>
              <w:rPr>
                <w:rFonts w:eastAsia="Times New Roman"/>
                <w:b/>
                <w:bCs/>
                <w:sz w:val="16"/>
                <w:szCs w:val="16"/>
              </w:rPr>
            </w:pPr>
            <w:r w:rsidRPr="00D90FB9">
              <w:rPr>
                <w:rFonts w:eastAsia="Times New Roman"/>
                <w:b/>
                <w:bCs/>
                <w:sz w:val="16"/>
                <w:szCs w:val="16"/>
              </w:rPr>
              <w:t>Indikator</w:t>
            </w:r>
          </w:p>
        </w:tc>
        <w:tc>
          <w:tcPr>
            <w:tcW w:w="288"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7917EC" w:rsidRPr="00B23BAF" w:rsidRDefault="007917EC" w:rsidP="007917EC">
            <w:pPr>
              <w:jc w:val="center"/>
              <w:rPr>
                <w:rFonts w:eastAsia="Times New Roman"/>
                <w:b/>
                <w:sz w:val="12"/>
                <w:szCs w:val="12"/>
              </w:rPr>
            </w:pPr>
            <w:r w:rsidRPr="00B23BAF">
              <w:rPr>
                <w:rFonts w:eastAsia="Times New Roman"/>
                <w:b/>
                <w:sz w:val="12"/>
                <w:szCs w:val="12"/>
              </w:rPr>
              <w:t>Geschlecht</w:t>
            </w:r>
          </w:p>
        </w:tc>
        <w:tc>
          <w:tcPr>
            <w:tcW w:w="568" w:type="dxa"/>
            <w:tcBorders>
              <w:top w:val="nil"/>
              <w:left w:val="nil"/>
              <w:bottom w:val="single" w:sz="4" w:space="0" w:color="auto"/>
              <w:right w:val="single" w:sz="4" w:space="0" w:color="auto"/>
            </w:tcBorders>
            <w:shd w:val="clear" w:color="auto" w:fill="auto"/>
            <w:noWrap/>
            <w:vAlign w:val="center"/>
            <w:hideMark/>
          </w:tcPr>
          <w:p w:rsidR="007917EC" w:rsidRPr="00B23BAF" w:rsidRDefault="007917EC" w:rsidP="007917EC">
            <w:pPr>
              <w:jc w:val="center"/>
              <w:rPr>
                <w:rFonts w:eastAsia="Times New Roman"/>
                <w:b/>
                <w:sz w:val="16"/>
                <w:szCs w:val="16"/>
              </w:rPr>
            </w:pPr>
            <w:r w:rsidRPr="00B23BAF">
              <w:rPr>
                <w:rFonts w:eastAsia="Times New Roman"/>
                <w:b/>
                <w:sz w:val="16"/>
                <w:szCs w:val="16"/>
              </w:rPr>
              <w:t>Jahr</w:t>
            </w:r>
          </w:p>
        </w:tc>
        <w:tc>
          <w:tcPr>
            <w:tcW w:w="607" w:type="dxa"/>
            <w:tcBorders>
              <w:top w:val="nil"/>
              <w:left w:val="nil"/>
              <w:bottom w:val="single" w:sz="4" w:space="0" w:color="auto"/>
              <w:right w:val="single" w:sz="4" w:space="0" w:color="auto"/>
            </w:tcBorders>
            <w:shd w:val="clear" w:color="auto" w:fill="auto"/>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MLU</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OGU</w:t>
            </w:r>
          </w:p>
        </w:tc>
        <w:tc>
          <w:tcPr>
            <w:tcW w:w="608"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KHH</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HA</w:t>
            </w:r>
            <w:r>
              <w:rPr>
                <w:rFonts w:eastAsia="Times New Roman"/>
                <w:b/>
                <w:bCs/>
                <w:sz w:val="16"/>
                <w:szCs w:val="16"/>
              </w:rPr>
              <w:t>h</w:t>
            </w:r>
            <w:proofErr w:type="spellEnd"/>
          </w:p>
        </w:tc>
        <w:tc>
          <w:tcPr>
            <w:tcW w:w="608" w:type="dxa"/>
            <w:tcBorders>
              <w:top w:val="nil"/>
              <w:left w:val="nil"/>
              <w:bottom w:val="single" w:sz="4" w:space="0" w:color="auto"/>
              <w:right w:val="nil"/>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HHz</w:t>
            </w:r>
            <w:proofErr w:type="spellEnd"/>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HMd</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HMe</w:t>
            </w:r>
            <w:proofErr w:type="spellEnd"/>
          </w:p>
        </w:tc>
      </w:tr>
      <w:tr w:rsidR="007917EC" w:rsidRPr="00D90FB9" w:rsidTr="007917EC">
        <w:trPr>
          <w:trHeight w:val="255"/>
        </w:trPr>
        <w:tc>
          <w:tcPr>
            <w:tcW w:w="441" w:type="dxa"/>
            <w:tcBorders>
              <w:top w:val="nil"/>
              <w:left w:val="single" w:sz="4" w:space="0" w:color="auto"/>
              <w:bottom w:val="single" w:sz="4" w:space="0" w:color="auto"/>
              <w:right w:val="single" w:sz="4" w:space="0" w:color="auto"/>
            </w:tcBorders>
            <w:shd w:val="clear" w:color="000000" w:fill="FFFF99"/>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A</w:t>
            </w:r>
          </w:p>
        </w:tc>
        <w:tc>
          <w:tcPr>
            <w:tcW w:w="3680" w:type="dxa"/>
            <w:tcBorders>
              <w:top w:val="nil"/>
              <w:left w:val="nil"/>
              <w:bottom w:val="single" w:sz="4" w:space="0" w:color="auto"/>
              <w:right w:val="nil"/>
            </w:tcBorders>
            <w:shd w:val="clear" w:color="000000" w:fill="FFFF99"/>
            <w:noWrap/>
            <w:vAlign w:val="center"/>
            <w:hideMark/>
          </w:tcPr>
          <w:p w:rsidR="007917EC" w:rsidRPr="00D90FB9" w:rsidRDefault="007917EC" w:rsidP="007917EC">
            <w:pPr>
              <w:rPr>
                <w:rFonts w:eastAsia="Times New Roman"/>
                <w:b/>
                <w:bCs/>
                <w:sz w:val="16"/>
                <w:szCs w:val="16"/>
              </w:rPr>
            </w:pPr>
            <w:r w:rsidRPr="00D90FB9">
              <w:rPr>
                <w:rFonts w:eastAsia="Times New Roman"/>
                <w:b/>
                <w:bCs/>
                <w:sz w:val="16"/>
                <w:szCs w:val="16"/>
              </w:rPr>
              <w:t>Ausstattung / Finanzierung</w:t>
            </w:r>
          </w:p>
        </w:tc>
        <w:tc>
          <w:tcPr>
            <w:tcW w:w="288" w:type="dxa"/>
            <w:tcBorders>
              <w:top w:val="nil"/>
              <w:left w:val="single" w:sz="4" w:space="0" w:color="auto"/>
              <w:bottom w:val="single" w:sz="4" w:space="0" w:color="auto"/>
              <w:right w:val="single" w:sz="4" w:space="0" w:color="auto"/>
            </w:tcBorders>
            <w:shd w:val="clear" w:color="000000" w:fill="FFFF99"/>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nil"/>
              <w:left w:val="single" w:sz="4" w:space="0" w:color="auto"/>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000000" w:fill="CCFFCC"/>
            <w:noWrap/>
            <w:vAlign w:val="center"/>
            <w:hideMark/>
          </w:tcPr>
          <w:p w:rsidR="007917EC" w:rsidRPr="00D90FB9" w:rsidRDefault="007917EC" w:rsidP="007917EC">
            <w:pPr>
              <w:rPr>
                <w:rFonts w:eastAsia="Times New Roman"/>
                <w:b/>
                <w:bCs/>
                <w:sz w:val="16"/>
                <w:szCs w:val="16"/>
              </w:rPr>
            </w:pPr>
            <w:r w:rsidRPr="00D90FB9">
              <w:rPr>
                <w:rFonts w:eastAsia="Times New Roman"/>
                <w:b/>
                <w:bCs/>
                <w:sz w:val="16"/>
                <w:szCs w:val="16"/>
              </w:rPr>
              <w:t>Finanzierung</w:t>
            </w:r>
          </w:p>
        </w:tc>
        <w:tc>
          <w:tcPr>
            <w:tcW w:w="288" w:type="dxa"/>
            <w:tcBorders>
              <w:top w:val="nil"/>
              <w:left w:val="single" w:sz="4" w:space="0" w:color="auto"/>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nil"/>
              <w:left w:val="nil"/>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1</w:t>
            </w:r>
          </w:p>
        </w:tc>
        <w:tc>
          <w:tcPr>
            <w:tcW w:w="3680" w:type="dxa"/>
            <w:tcBorders>
              <w:top w:val="single" w:sz="4" w:space="0" w:color="D9D9D9"/>
              <w:left w:val="nil"/>
              <w:bottom w:val="single" w:sz="4" w:space="0" w:color="D9D9D9"/>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Landeszuschuss im Hochschulkapitel [1.000 Euro]</w:t>
            </w:r>
          </w:p>
        </w:tc>
        <w:tc>
          <w:tcPr>
            <w:tcW w:w="288"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2</w:t>
            </w:r>
          </w:p>
        </w:tc>
        <w:tc>
          <w:tcPr>
            <w:tcW w:w="3680" w:type="dxa"/>
            <w:tcBorders>
              <w:top w:val="nil"/>
              <w:left w:val="nil"/>
              <w:bottom w:val="nil"/>
              <w:right w:val="nil"/>
            </w:tcBorders>
            <w:shd w:val="clear" w:color="auto" w:fill="auto"/>
            <w:vAlign w:val="center"/>
            <w:hideMark/>
          </w:tcPr>
          <w:p w:rsidR="007917EC" w:rsidRPr="00D90FB9" w:rsidRDefault="007917EC" w:rsidP="007917EC">
            <w:pPr>
              <w:rPr>
                <w:rFonts w:eastAsia="Times New Roman"/>
                <w:sz w:val="14"/>
                <w:szCs w:val="14"/>
              </w:rPr>
            </w:pPr>
            <w:r w:rsidRPr="00D90FB9">
              <w:rPr>
                <w:rFonts w:eastAsia="Times New Roman"/>
                <w:sz w:val="14"/>
                <w:szCs w:val="14"/>
              </w:rPr>
              <w:t>Professorenstellen</w:t>
            </w:r>
          </w:p>
        </w:tc>
        <w:tc>
          <w:tcPr>
            <w:tcW w:w="288" w:type="dxa"/>
            <w:tcBorders>
              <w:top w:val="nil"/>
              <w:left w:val="single" w:sz="4" w:space="0" w:color="auto"/>
              <w:bottom w:val="nil"/>
              <w:right w:val="single" w:sz="4" w:space="0" w:color="auto"/>
            </w:tcBorders>
            <w:shd w:val="clear" w:color="auto" w:fill="auto"/>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nil"/>
              <w:right w:val="single" w:sz="4" w:space="0" w:color="auto"/>
            </w:tcBorders>
            <w:shd w:val="clear" w:color="auto" w:fill="auto"/>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single" w:sz="4" w:space="0" w:color="auto"/>
              <w:left w:val="nil"/>
              <w:bottom w:val="nil"/>
              <w:right w:val="nil"/>
            </w:tcBorders>
            <w:shd w:val="clear" w:color="000000" w:fill="CCFFCC"/>
            <w:noWrap/>
            <w:vAlign w:val="center"/>
            <w:hideMark/>
          </w:tcPr>
          <w:p w:rsidR="007917EC" w:rsidRPr="00D90FB9" w:rsidRDefault="007917EC" w:rsidP="007917EC">
            <w:pPr>
              <w:rPr>
                <w:rFonts w:eastAsia="Times New Roman"/>
                <w:b/>
                <w:bCs/>
                <w:sz w:val="16"/>
                <w:szCs w:val="16"/>
              </w:rPr>
            </w:pPr>
            <w:r w:rsidRPr="00D90FB9">
              <w:rPr>
                <w:rFonts w:eastAsia="Times New Roman"/>
                <w:b/>
                <w:bCs/>
                <w:sz w:val="16"/>
                <w:szCs w:val="16"/>
              </w:rPr>
              <w:t>Infrastruktur / Bausubstanz</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3</w:t>
            </w:r>
          </w:p>
        </w:tc>
        <w:tc>
          <w:tcPr>
            <w:tcW w:w="3680" w:type="dxa"/>
            <w:tcBorders>
              <w:top w:val="single" w:sz="4" w:space="0" w:color="D9D9D9"/>
              <w:left w:val="nil"/>
              <w:bottom w:val="single" w:sz="4" w:space="0" w:color="D9D9D9"/>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Flächen [qm] Ziel</w:t>
            </w:r>
          </w:p>
        </w:tc>
        <w:tc>
          <w:tcPr>
            <w:tcW w:w="288"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4</w:t>
            </w:r>
          </w:p>
        </w:tc>
        <w:tc>
          <w:tcPr>
            <w:tcW w:w="3680" w:type="dxa"/>
            <w:tcBorders>
              <w:top w:val="nil"/>
              <w:left w:val="nil"/>
              <w:bottom w:val="single" w:sz="4" w:space="0" w:color="D9D9D9"/>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Flächen [qm] Ist</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5</w:t>
            </w:r>
          </w:p>
        </w:tc>
        <w:tc>
          <w:tcPr>
            <w:tcW w:w="3680" w:type="dxa"/>
            <w:tcBorders>
              <w:top w:val="nil"/>
              <w:left w:val="nil"/>
              <w:bottom w:val="single" w:sz="4" w:space="0" w:color="auto"/>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Bauinvestitionsmittel [Euro]</w:t>
            </w:r>
          </w:p>
        </w:tc>
        <w:tc>
          <w:tcPr>
            <w:tcW w:w="288" w:type="dxa"/>
            <w:tcBorders>
              <w:top w:val="nil"/>
              <w:left w:val="single" w:sz="4" w:space="0" w:color="auto"/>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nil"/>
              <w:left w:val="single" w:sz="4" w:space="0" w:color="auto"/>
              <w:bottom w:val="single" w:sz="4" w:space="0" w:color="auto"/>
              <w:right w:val="single" w:sz="4" w:space="0" w:color="auto"/>
            </w:tcBorders>
            <w:shd w:val="clear" w:color="000000" w:fill="FFFF99"/>
            <w:noWrap/>
            <w:vAlign w:val="center"/>
            <w:hideMark/>
          </w:tcPr>
          <w:p w:rsidR="007917EC" w:rsidRPr="00D90FB9" w:rsidRDefault="007917EC" w:rsidP="007917EC">
            <w:pPr>
              <w:jc w:val="center"/>
              <w:rPr>
                <w:rFonts w:eastAsia="Times New Roman"/>
                <w:b/>
                <w:bCs/>
                <w:sz w:val="14"/>
                <w:szCs w:val="14"/>
              </w:rPr>
            </w:pPr>
            <w:r w:rsidRPr="00D90FB9">
              <w:rPr>
                <w:rFonts w:eastAsia="Times New Roman"/>
                <w:b/>
                <w:bCs/>
                <w:sz w:val="14"/>
                <w:szCs w:val="14"/>
              </w:rPr>
              <w:t>B</w:t>
            </w:r>
          </w:p>
        </w:tc>
        <w:tc>
          <w:tcPr>
            <w:tcW w:w="3680" w:type="dxa"/>
            <w:tcBorders>
              <w:top w:val="nil"/>
              <w:left w:val="nil"/>
              <w:bottom w:val="single" w:sz="4" w:space="0" w:color="auto"/>
              <w:right w:val="nil"/>
            </w:tcBorders>
            <w:shd w:val="clear" w:color="000000" w:fill="FFFF99"/>
            <w:noWrap/>
            <w:vAlign w:val="center"/>
            <w:hideMark/>
          </w:tcPr>
          <w:p w:rsidR="007917EC" w:rsidRPr="00D90FB9" w:rsidRDefault="007917EC" w:rsidP="007917EC">
            <w:pPr>
              <w:rPr>
                <w:rFonts w:eastAsia="Times New Roman"/>
                <w:b/>
                <w:bCs/>
                <w:color w:val="000000"/>
                <w:sz w:val="16"/>
                <w:szCs w:val="16"/>
              </w:rPr>
            </w:pPr>
            <w:r w:rsidRPr="00D90FB9">
              <w:rPr>
                <w:rFonts w:eastAsia="Times New Roman"/>
                <w:b/>
                <w:bCs/>
                <w:color w:val="000000"/>
                <w:sz w:val="16"/>
                <w:szCs w:val="16"/>
              </w:rPr>
              <w:t>Studium und Lehre</w:t>
            </w:r>
          </w:p>
        </w:tc>
        <w:tc>
          <w:tcPr>
            <w:tcW w:w="288" w:type="dxa"/>
            <w:tcBorders>
              <w:top w:val="nil"/>
              <w:left w:val="single" w:sz="4" w:space="0" w:color="auto"/>
              <w:bottom w:val="single" w:sz="4" w:space="0" w:color="auto"/>
              <w:right w:val="single" w:sz="4" w:space="0" w:color="auto"/>
            </w:tcBorders>
            <w:shd w:val="clear" w:color="000000" w:fill="FFFF99"/>
            <w:noWrap/>
            <w:vAlign w:val="center"/>
            <w:hideMark/>
          </w:tcPr>
          <w:p w:rsidR="007917EC" w:rsidRPr="00D90FB9" w:rsidRDefault="007917EC" w:rsidP="007917EC">
            <w:pPr>
              <w:jc w:val="center"/>
              <w:rPr>
                <w:rFonts w:eastAsia="Times New Roman"/>
                <w:b/>
                <w:bCs/>
                <w:color w:val="000000"/>
                <w:sz w:val="16"/>
                <w:szCs w:val="16"/>
              </w:rPr>
            </w:pPr>
            <w:r w:rsidRPr="00D90FB9">
              <w:rPr>
                <w:rFonts w:eastAsia="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center"/>
              <w:rPr>
                <w:rFonts w:eastAsia="Times New Roman"/>
                <w:color w:val="000000"/>
                <w:sz w:val="12"/>
                <w:szCs w:val="12"/>
              </w:rPr>
            </w:pPr>
            <w:r w:rsidRPr="00D90FB9">
              <w:rPr>
                <w:rFonts w:eastAsia="Times New Roman"/>
                <w:color w:val="000000"/>
                <w:sz w:val="12"/>
                <w:szCs w:val="12"/>
              </w:rPr>
              <w:t> </w:t>
            </w:r>
          </w:p>
        </w:tc>
        <w:tc>
          <w:tcPr>
            <w:tcW w:w="607"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nil"/>
              <w:left w:val="single" w:sz="4" w:space="0" w:color="auto"/>
              <w:bottom w:val="single" w:sz="4" w:space="0" w:color="D9D9D9"/>
              <w:right w:val="single" w:sz="4" w:space="0" w:color="auto"/>
            </w:tcBorders>
            <w:shd w:val="clear" w:color="000000" w:fill="CCFFCC"/>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000000" w:fill="CCFFCC"/>
            <w:noWrap/>
            <w:vAlign w:val="center"/>
            <w:hideMark/>
          </w:tcPr>
          <w:p w:rsidR="007917EC" w:rsidRPr="00D90FB9" w:rsidRDefault="007917EC" w:rsidP="007917EC">
            <w:pPr>
              <w:rPr>
                <w:rFonts w:eastAsia="Times New Roman"/>
                <w:b/>
                <w:bCs/>
                <w:sz w:val="16"/>
                <w:szCs w:val="16"/>
              </w:rPr>
            </w:pPr>
            <w:r w:rsidRPr="00D90FB9">
              <w:rPr>
                <w:rFonts w:eastAsia="Times New Roman"/>
                <w:b/>
                <w:bCs/>
                <w:sz w:val="16"/>
                <w:szCs w:val="16"/>
              </w:rPr>
              <w:t>Studium</w:t>
            </w:r>
          </w:p>
        </w:tc>
        <w:tc>
          <w:tcPr>
            <w:tcW w:w="288" w:type="dxa"/>
            <w:tcBorders>
              <w:top w:val="nil"/>
              <w:left w:val="single" w:sz="4" w:space="0" w:color="auto"/>
              <w:bottom w:val="single" w:sz="4" w:space="0" w:color="D9D9D9"/>
              <w:right w:val="single" w:sz="4" w:space="0" w:color="auto"/>
            </w:tcBorders>
            <w:shd w:val="clear" w:color="000000" w:fill="CCFFCC"/>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nil"/>
              <w:left w:val="nil"/>
              <w:bottom w:val="single" w:sz="4" w:space="0" w:color="D9D9D9"/>
              <w:right w:val="single" w:sz="4" w:space="0" w:color="auto"/>
            </w:tcBorders>
            <w:shd w:val="clear" w:color="000000" w:fill="CCFFCC"/>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6</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Studienplatzzahlen (Zielzahlen)</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540"/>
        </w:trPr>
        <w:tc>
          <w:tcPr>
            <w:tcW w:w="441"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7</w:t>
            </w:r>
          </w:p>
        </w:tc>
        <w:tc>
          <w:tcPr>
            <w:tcW w:w="3680" w:type="dxa"/>
            <w:tcBorders>
              <w:top w:val="single" w:sz="4" w:space="0" w:color="D9D9D9"/>
              <w:left w:val="nil"/>
              <w:bottom w:val="single" w:sz="4" w:space="0" w:color="D9D9D9"/>
              <w:right w:val="nil"/>
            </w:tcBorders>
            <w:shd w:val="clear" w:color="auto" w:fill="auto"/>
            <w:vAlign w:val="center"/>
            <w:hideMark/>
          </w:tcPr>
          <w:p w:rsidR="007917EC" w:rsidRPr="00D90FB9" w:rsidRDefault="007917EC" w:rsidP="007917EC">
            <w:pPr>
              <w:rPr>
                <w:rFonts w:eastAsia="Times New Roman"/>
                <w:sz w:val="14"/>
                <w:szCs w:val="14"/>
              </w:rPr>
            </w:pPr>
            <w:r w:rsidRPr="00D90FB9">
              <w:rPr>
                <w:rFonts w:eastAsia="Times New Roman"/>
                <w:sz w:val="14"/>
                <w:szCs w:val="14"/>
              </w:rPr>
              <w:t>errechnete Aufnahmekapazität</w:t>
            </w:r>
            <w:r w:rsidRPr="00D90FB9">
              <w:rPr>
                <w:rFonts w:eastAsia="Times New Roman"/>
                <w:sz w:val="14"/>
                <w:szCs w:val="14"/>
              </w:rPr>
              <w:br/>
              <w:t>grundständiges kapazitätsrelevantes Studienangebot</w:t>
            </w:r>
            <w:r w:rsidRPr="00D90FB9">
              <w:rPr>
                <w:rFonts w:eastAsia="Times New Roman"/>
                <w:sz w:val="14"/>
                <w:szCs w:val="14"/>
              </w:rPr>
              <w:br/>
              <w:t>(äquivalente Studienanfängerplätze)</w:t>
            </w:r>
          </w:p>
        </w:tc>
        <w:tc>
          <w:tcPr>
            <w:tcW w:w="288" w:type="dxa"/>
            <w:tcBorders>
              <w:top w:val="single" w:sz="4" w:space="0" w:color="D9D9D9"/>
              <w:left w:val="single" w:sz="4" w:space="0" w:color="auto"/>
              <w:bottom w:val="single" w:sz="4" w:space="0" w:color="D9D9D9"/>
              <w:right w:val="single" w:sz="4" w:space="0" w:color="auto"/>
            </w:tcBorders>
            <w:shd w:val="clear" w:color="auto" w:fill="auto"/>
            <w:vAlign w:val="center"/>
            <w:hideMark/>
          </w:tcPr>
          <w:p w:rsidR="007917EC" w:rsidRPr="00D90FB9" w:rsidRDefault="007917EC" w:rsidP="007917EC">
            <w:pPr>
              <w:jc w:val="center"/>
              <w:rPr>
                <w:rFonts w:eastAsia="Times New Roman"/>
                <w:sz w:val="16"/>
                <w:szCs w:val="16"/>
              </w:rPr>
            </w:pPr>
            <w:r w:rsidRPr="00D90FB9">
              <w:rPr>
                <w:rFonts w:eastAsia="Times New Roman"/>
                <w:sz w:val="16"/>
                <w:szCs w:val="16"/>
              </w:rPr>
              <w:t> </w:t>
            </w:r>
          </w:p>
        </w:tc>
        <w:tc>
          <w:tcPr>
            <w:tcW w:w="568"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vAlign w:val="center"/>
            <w:hideMark/>
          </w:tcPr>
          <w:p w:rsidR="007917EC" w:rsidRPr="004F198C" w:rsidRDefault="007917EC" w:rsidP="007917EC">
            <w:pPr>
              <w:jc w:val="right"/>
              <w:rPr>
                <w:rFonts w:eastAsia="Times New Roman"/>
                <w:sz w:val="16"/>
                <w:szCs w:val="16"/>
              </w:rPr>
            </w:pPr>
            <w:r w:rsidRPr="004F198C">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4F198C" w:rsidRDefault="007917EC" w:rsidP="007917EC">
            <w:pPr>
              <w:jc w:val="right"/>
              <w:rPr>
                <w:rFonts w:eastAsia="Times New Roman"/>
                <w:sz w:val="16"/>
                <w:szCs w:val="16"/>
              </w:rPr>
            </w:pPr>
            <w:r w:rsidRPr="004F198C">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5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8</w:t>
            </w:r>
          </w:p>
        </w:tc>
        <w:tc>
          <w:tcPr>
            <w:tcW w:w="3680" w:type="dxa"/>
            <w:tcBorders>
              <w:top w:val="nil"/>
              <w:left w:val="nil"/>
              <w:bottom w:val="single" w:sz="4" w:space="0" w:color="D9D9D9"/>
              <w:right w:val="nil"/>
            </w:tcBorders>
            <w:shd w:val="clear" w:color="auto" w:fill="auto"/>
            <w:vAlign w:val="center"/>
            <w:hideMark/>
          </w:tcPr>
          <w:p w:rsidR="007917EC" w:rsidRPr="00D90FB9" w:rsidRDefault="007917EC" w:rsidP="007917EC">
            <w:pPr>
              <w:rPr>
                <w:rFonts w:eastAsia="Times New Roman"/>
                <w:sz w:val="14"/>
                <w:szCs w:val="14"/>
              </w:rPr>
            </w:pPr>
            <w:r w:rsidRPr="00D90FB9">
              <w:rPr>
                <w:rFonts w:eastAsia="Times New Roman"/>
                <w:sz w:val="14"/>
                <w:szCs w:val="14"/>
              </w:rPr>
              <w:t>errechnete Aufnahmekapazität</w:t>
            </w:r>
            <w:r w:rsidRPr="00D90FB9">
              <w:rPr>
                <w:rFonts w:eastAsia="Times New Roman"/>
                <w:sz w:val="14"/>
                <w:szCs w:val="14"/>
              </w:rPr>
              <w:br/>
              <w:t>weiterführendes kapazitätsrelevantes Studienangebot</w:t>
            </w:r>
            <w:r w:rsidRPr="00D90FB9">
              <w:rPr>
                <w:rFonts w:eastAsia="Times New Roman"/>
                <w:sz w:val="14"/>
                <w:szCs w:val="14"/>
              </w:rPr>
              <w:br/>
              <w:t>(äquivalente Studienanfängerplätze)</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rsidR="007917EC" w:rsidRPr="00D90FB9" w:rsidRDefault="007917EC" w:rsidP="007917EC">
            <w:pPr>
              <w:jc w:val="center"/>
              <w:rPr>
                <w:rFonts w:eastAsia="Times New Roman"/>
                <w:sz w:val="16"/>
                <w:szCs w:val="16"/>
              </w:rPr>
            </w:pPr>
            <w:r w:rsidRPr="00D90FB9">
              <w:rPr>
                <w:rFonts w:eastAsia="Times New Roman"/>
                <w:sz w:val="16"/>
                <w:szCs w:val="16"/>
              </w:rPr>
              <w:t> </w:t>
            </w:r>
          </w:p>
        </w:tc>
        <w:tc>
          <w:tcPr>
            <w:tcW w:w="56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vAlign w:val="center"/>
            <w:hideMark/>
          </w:tcPr>
          <w:p w:rsidR="007917EC" w:rsidRPr="004F198C" w:rsidRDefault="007917EC" w:rsidP="007917EC">
            <w:pPr>
              <w:jc w:val="center"/>
              <w:rPr>
                <w:rFonts w:eastAsia="Times New Roman"/>
                <w:sz w:val="16"/>
                <w:szCs w:val="16"/>
              </w:rPr>
            </w:pPr>
            <w:r w:rsidRPr="004F198C">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4F198C" w:rsidRDefault="007917EC" w:rsidP="007917EC">
            <w:pPr>
              <w:jc w:val="right"/>
              <w:rPr>
                <w:rFonts w:eastAsia="Times New Roman"/>
                <w:sz w:val="16"/>
                <w:szCs w:val="16"/>
              </w:rPr>
            </w:pPr>
            <w:r w:rsidRPr="004F198C">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9</w:t>
            </w:r>
          </w:p>
        </w:tc>
        <w:tc>
          <w:tcPr>
            <w:tcW w:w="3680" w:type="dxa"/>
            <w:tcBorders>
              <w:top w:val="nil"/>
              <w:left w:val="nil"/>
              <w:bottom w:val="single" w:sz="4" w:space="0" w:color="D9D9D9"/>
              <w:right w:val="nil"/>
            </w:tcBorders>
            <w:shd w:val="clear" w:color="auto" w:fill="auto"/>
            <w:vAlign w:val="center"/>
            <w:hideMark/>
          </w:tcPr>
          <w:p w:rsidR="007917EC" w:rsidRPr="00D90FB9" w:rsidRDefault="007917EC" w:rsidP="007917EC">
            <w:pPr>
              <w:rPr>
                <w:rFonts w:eastAsia="Times New Roman"/>
                <w:sz w:val="14"/>
                <w:szCs w:val="14"/>
              </w:rPr>
            </w:pPr>
            <w:r w:rsidRPr="00D90FB9">
              <w:rPr>
                <w:rFonts w:eastAsia="Times New Roman"/>
                <w:sz w:val="14"/>
                <w:szCs w:val="14"/>
              </w:rPr>
              <w:t>kapazitätsrelevantes Studienangebot</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10</w:t>
            </w:r>
          </w:p>
        </w:tc>
        <w:tc>
          <w:tcPr>
            <w:tcW w:w="3680" w:type="dxa"/>
            <w:tcBorders>
              <w:top w:val="nil"/>
              <w:left w:val="nil"/>
              <w:bottom w:val="single" w:sz="4" w:space="0" w:color="D9D9D9"/>
              <w:right w:val="nil"/>
            </w:tcBorders>
            <w:shd w:val="clear" w:color="auto" w:fill="auto"/>
            <w:vAlign w:val="center"/>
            <w:hideMark/>
          </w:tcPr>
          <w:p w:rsidR="007917EC" w:rsidRPr="00D90FB9" w:rsidRDefault="007917EC" w:rsidP="007917EC">
            <w:pPr>
              <w:rPr>
                <w:rFonts w:eastAsia="Times New Roman"/>
                <w:sz w:val="14"/>
                <w:szCs w:val="14"/>
              </w:rPr>
            </w:pPr>
            <w:r w:rsidRPr="00D90FB9">
              <w:rPr>
                <w:rFonts w:eastAsia="Times New Roman"/>
                <w:sz w:val="14"/>
                <w:szCs w:val="14"/>
              </w:rPr>
              <w:t xml:space="preserve">   davon zulassungsbeschränkt</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single" w:sz="4" w:space="0" w:color="auto"/>
              <w:left w:val="nil"/>
              <w:bottom w:val="nil"/>
              <w:right w:val="nil"/>
            </w:tcBorders>
            <w:shd w:val="clear" w:color="000000" w:fill="CCFFCC"/>
            <w:noWrap/>
            <w:vAlign w:val="center"/>
            <w:hideMark/>
          </w:tcPr>
          <w:p w:rsidR="007917EC" w:rsidRPr="00D90FB9" w:rsidRDefault="007917EC" w:rsidP="007917EC">
            <w:pPr>
              <w:rPr>
                <w:rFonts w:eastAsia="Times New Roman"/>
                <w:b/>
                <w:bCs/>
                <w:sz w:val="16"/>
                <w:szCs w:val="16"/>
              </w:rPr>
            </w:pPr>
            <w:r w:rsidRPr="00D90FB9">
              <w:rPr>
                <w:rFonts w:eastAsia="Times New Roman"/>
                <w:b/>
                <w:bCs/>
                <w:sz w:val="16"/>
                <w:szCs w:val="16"/>
              </w:rPr>
              <w:t>Personalstruktur</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11</w:t>
            </w:r>
          </w:p>
        </w:tc>
        <w:tc>
          <w:tcPr>
            <w:tcW w:w="3680" w:type="dxa"/>
            <w:tcBorders>
              <w:top w:val="single" w:sz="4" w:space="0" w:color="D9D9D9"/>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Personal Gesamt (VZÄ)</w:t>
            </w:r>
          </w:p>
        </w:tc>
        <w:tc>
          <w:tcPr>
            <w:tcW w:w="288" w:type="dxa"/>
            <w:tcBorders>
              <w:top w:val="single" w:sz="4" w:space="0" w:color="D9D9D9"/>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12</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 xml:space="preserve">     davon Vollzeit</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13</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 xml:space="preserve">     davon Wissenschaftler</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14</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 xml:space="preserve">     davon Wissenschaftler ohne </w:t>
            </w:r>
            <w:proofErr w:type="spellStart"/>
            <w:r w:rsidRPr="00D90FB9">
              <w:rPr>
                <w:rFonts w:eastAsia="Times New Roman"/>
                <w:sz w:val="14"/>
                <w:szCs w:val="14"/>
              </w:rPr>
              <w:t>LfbA</w:t>
            </w:r>
            <w:proofErr w:type="spellEnd"/>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15</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 xml:space="preserve">     Professoren</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single" w:sz="4" w:space="0" w:color="auto"/>
              <w:left w:val="nil"/>
              <w:bottom w:val="nil"/>
              <w:right w:val="nil"/>
            </w:tcBorders>
            <w:shd w:val="clear" w:color="000000" w:fill="CCFFCC"/>
            <w:noWrap/>
            <w:vAlign w:val="center"/>
            <w:hideMark/>
          </w:tcPr>
          <w:p w:rsidR="007917EC" w:rsidRPr="00D90FB9" w:rsidRDefault="007917EC" w:rsidP="007917EC">
            <w:pPr>
              <w:rPr>
                <w:rFonts w:eastAsia="Times New Roman"/>
                <w:b/>
                <w:bCs/>
                <w:sz w:val="16"/>
                <w:szCs w:val="16"/>
              </w:rPr>
            </w:pPr>
            <w:r w:rsidRPr="00D90FB9">
              <w:rPr>
                <w:rFonts w:eastAsia="Times New Roman"/>
                <w:b/>
                <w:bCs/>
                <w:sz w:val="16"/>
                <w:szCs w:val="16"/>
              </w:rPr>
              <w:t>Studierende</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16</w:t>
            </w:r>
          </w:p>
        </w:tc>
        <w:tc>
          <w:tcPr>
            <w:tcW w:w="3680" w:type="dxa"/>
            <w:tcBorders>
              <w:top w:val="single" w:sz="4" w:space="0" w:color="D9D9D9"/>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Studienanfänger 1. Hochschulsemester</w:t>
            </w:r>
          </w:p>
        </w:tc>
        <w:tc>
          <w:tcPr>
            <w:tcW w:w="288" w:type="dxa"/>
            <w:tcBorders>
              <w:top w:val="single" w:sz="4" w:space="0" w:color="D9D9D9"/>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17</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Studienanfänger 1. Fachsemester</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18</w:t>
            </w:r>
          </w:p>
        </w:tc>
        <w:tc>
          <w:tcPr>
            <w:tcW w:w="3680" w:type="dxa"/>
            <w:tcBorders>
              <w:top w:val="nil"/>
              <w:left w:val="nil"/>
              <w:bottom w:val="nil"/>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Studierende</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right w:val="nil"/>
            </w:tcBorders>
            <w:shd w:val="clear" w:color="auto" w:fill="auto"/>
            <w:noWrap/>
            <w:vAlign w:val="center"/>
            <w:hideMark/>
          </w:tcPr>
          <w:p w:rsidR="007917EC" w:rsidRPr="00D90FB9" w:rsidRDefault="007917EC" w:rsidP="007917EC">
            <w:pPr>
              <w:rPr>
                <w:rFonts w:eastAsia="Times New Roman"/>
                <w:sz w:val="14"/>
                <w:szCs w:val="14"/>
              </w:rPr>
            </w:pPr>
          </w:p>
        </w:tc>
        <w:tc>
          <w:tcPr>
            <w:tcW w:w="288" w:type="dxa"/>
            <w:tcBorders>
              <w:top w:val="nil"/>
              <w:left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rsidTr="007917EC">
        <w:trPr>
          <w:trHeight w:val="24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auto"/>
              <w:right w:val="nil"/>
            </w:tcBorders>
            <w:shd w:val="clear" w:color="auto" w:fill="auto"/>
            <w:noWrap/>
            <w:vAlign w:val="center"/>
            <w:hideMark/>
          </w:tcPr>
          <w:p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rsidR="007917EC" w:rsidRPr="00D90FB9" w:rsidRDefault="007917EC" w:rsidP="007917EC">
            <w:pPr>
              <w:jc w:val="right"/>
              <w:rPr>
                <w:rFonts w:eastAsia="Times New Roman"/>
                <w:sz w:val="16"/>
                <w:szCs w:val="16"/>
              </w:rPr>
            </w:pPr>
            <w:r w:rsidRPr="00D90FB9">
              <w:rPr>
                <w:rFonts w:eastAsia="Times New Roman"/>
                <w:sz w:val="16"/>
                <w:szCs w:val="16"/>
              </w:rPr>
              <w:t> </w:t>
            </w:r>
          </w:p>
        </w:tc>
      </w:tr>
    </w:tbl>
    <w:p w:rsidR="007917EC" w:rsidRDefault="007917EC" w:rsidP="007917EC"/>
    <w:p w:rsidR="007917EC" w:rsidRDefault="007917EC" w:rsidP="007917EC">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441"/>
        <w:gridCol w:w="3685"/>
        <w:gridCol w:w="288"/>
        <w:gridCol w:w="563"/>
        <w:gridCol w:w="607"/>
        <w:gridCol w:w="607"/>
        <w:gridCol w:w="608"/>
        <w:gridCol w:w="607"/>
        <w:gridCol w:w="608"/>
        <w:gridCol w:w="607"/>
        <w:gridCol w:w="608"/>
      </w:tblGrid>
      <w:tr w:rsidR="007917EC" w:rsidRPr="00D90FB9" w:rsidTr="007917EC">
        <w:trPr>
          <w:trHeight w:val="7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lastRenderedPageBreak/>
              <w:t>Nr.</w:t>
            </w:r>
          </w:p>
        </w:tc>
        <w:tc>
          <w:tcPr>
            <w:tcW w:w="3685" w:type="dxa"/>
            <w:tcBorders>
              <w:top w:val="single" w:sz="4" w:space="0" w:color="auto"/>
              <w:left w:val="nil"/>
              <w:bottom w:val="single" w:sz="4" w:space="0" w:color="auto"/>
              <w:right w:val="nil"/>
            </w:tcBorders>
            <w:shd w:val="clear" w:color="auto" w:fill="auto"/>
            <w:noWrap/>
            <w:vAlign w:val="center"/>
            <w:hideMark/>
          </w:tcPr>
          <w:p w:rsidR="007917EC" w:rsidRPr="00D90FB9" w:rsidRDefault="007917EC" w:rsidP="007917EC">
            <w:pPr>
              <w:rPr>
                <w:rFonts w:eastAsia="Times New Roman"/>
                <w:b/>
                <w:bCs/>
                <w:sz w:val="16"/>
                <w:szCs w:val="16"/>
              </w:rPr>
            </w:pPr>
            <w:r w:rsidRPr="00D90FB9">
              <w:rPr>
                <w:rFonts w:eastAsia="Times New Roman"/>
                <w:b/>
                <w:bCs/>
                <w:sz w:val="16"/>
                <w:szCs w:val="16"/>
              </w:rPr>
              <w:t>Indikator</w:t>
            </w:r>
          </w:p>
        </w:tc>
        <w:tc>
          <w:tcPr>
            <w:tcW w:w="288"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917EC" w:rsidRPr="00B23BAF" w:rsidRDefault="007917EC" w:rsidP="007917EC">
            <w:pPr>
              <w:jc w:val="center"/>
              <w:rPr>
                <w:rFonts w:eastAsia="Times New Roman"/>
                <w:b/>
                <w:sz w:val="12"/>
                <w:szCs w:val="12"/>
              </w:rPr>
            </w:pPr>
            <w:r w:rsidRPr="00B23BAF">
              <w:rPr>
                <w:rFonts w:eastAsia="Times New Roman"/>
                <w:b/>
                <w:sz w:val="12"/>
                <w:szCs w:val="12"/>
              </w:rPr>
              <w:t>Geschlecht</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7917EC" w:rsidRPr="00B23BAF" w:rsidRDefault="007917EC" w:rsidP="007917EC">
            <w:pPr>
              <w:jc w:val="center"/>
              <w:rPr>
                <w:rFonts w:eastAsia="Times New Roman"/>
                <w:b/>
                <w:sz w:val="16"/>
                <w:szCs w:val="16"/>
              </w:rPr>
            </w:pPr>
            <w:r w:rsidRPr="00B23BAF">
              <w:rPr>
                <w:rFonts w:eastAsia="Times New Roman"/>
                <w:b/>
                <w:sz w:val="16"/>
                <w:szCs w:val="16"/>
              </w:rPr>
              <w:t>Jahr</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MLU</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OGU</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KHH</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HA</w:t>
            </w:r>
            <w:r>
              <w:rPr>
                <w:rFonts w:eastAsia="Times New Roman"/>
                <w:b/>
                <w:bCs/>
                <w:sz w:val="16"/>
                <w:szCs w:val="16"/>
              </w:rPr>
              <w:t>h</w:t>
            </w:r>
            <w:proofErr w:type="spellEnd"/>
          </w:p>
        </w:tc>
        <w:tc>
          <w:tcPr>
            <w:tcW w:w="608" w:type="dxa"/>
            <w:tcBorders>
              <w:top w:val="single" w:sz="4" w:space="0" w:color="auto"/>
              <w:left w:val="nil"/>
              <w:bottom w:val="single" w:sz="4" w:space="0" w:color="auto"/>
              <w:right w:val="nil"/>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HHz</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HMd</w:t>
            </w:r>
            <w:proofErr w:type="spellEnd"/>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HMe</w:t>
            </w:r>
            <w:proofErr w:type="spellEnd"/>
          </w:p>
        </w:tc>
      </w:tr>
      <w:tr w:rsidR="007917EC" w:rsidRPr="00014189"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single" w:sz="4" w:space="0" w:color="auto"/>
              <w:left w:val="nil"/>
              <w:bottom w:val="nil"/>
              <w:right w:val="nil"/>
            </w:tcBorders>
            <w:shd w:val="clear" w:color="000000" w:fill="CCFFCC"/>
            <w:noWrap/>
            <w:vAlign w:val="center"/>
            <w:hideMark/>
          </w:tcPr>
          <w:p w:rsidR="007917EC" w:rsidRPr="00014189" w:rsidRDefault="007917EC" w:rsidP="007917EC">
            <w:pPr>
              <w:rPr>
                <w:rFonts w:eastAsia="Times New Roman"/>
                <w:b/>
                <w:bCs/>
                <w:sz w:val="16"/>
                <w:szCs w:val="16"/>
              </w:rPr>
            </w:pPr>
            <w:r w:rsidRPr="00014189">
              <w:rPr>
                <w:rFonts w:eastAsia="Times New Roman"/>
                <w:b/>
                <w:bCs/>
                <w:sz w:val="16"/>
                <w:szCs w:val="16"/>
              </w:rPr>
              <w:t>Abschlüsse</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19</w:t>
            </w:r>
          </w:p>
        </w:tc>
        <w:tc>
          <w:tcPr>
            <w:tcW w:w="3685" w:type="dxa"/>
            <w:tcBorders>
              <w:top w:val="single" w:sz="4" w:space="0" w:color="D9D9D9"/>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Absolventen insgesamt</w:t>
            </w:r>
          </w:p>
        </w:tc>
        <w:tc>
          <w:tcPr>
            <w:tcW w:w="288" w:type="dxa"/>
            <w:tcBorders>
              <w:top w:val="single" w:sz="4" w:space="0" w:color="D9D9D9"/>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20</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davon Bachelor</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21</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davon Master </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22</w:t>
            </w:r>
          </w:p>
        </w:tc>
        <w:tc>
          <w:tcPr>
            <w:tcW w:w="3685" w:type="dxa"/>
            <w:tcBorders>
              <w:top w:val="single" w:sz="4" w:space="0" w:color="D9D9D9"/>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davon Staatsprüfung</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23</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davon sonstige Abschlüsse</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auto"/>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auto"/>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55"/>
        </w:trPr>
        <w:tc>
          <w:tcPr>
            <w:tcW w:w="441" w:type="dxa"/>
            <w:tcBorders>
              <w:top w:val="nil"/>
              <w:left w:val="single" w:sz="4" w:space="0" w:color="auto"/>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000000" w:fill="CCFFCC"/>
            <w:noWrap/>
            <w:vAlign w:val="center"/>
            <w:hideMark/>
          </w:tcPr>
          <w:p w:rsidR="007917EC" w:rsidRPr="00014189" w:rsidRDefault="007917EC" w:rsidP="007917EC">
            <w:pPr>
              <w:rPr>
                <w:rFonts w:eastAsia="Times New Roman"/>
                <w:b/>
                <w:bCs/>
                <w:sz w:val="16"/>
                <w:szCs w:val="16"/>
              </w:rPr>
            </w:pPr>
            <w:r w:rsidRPr="00014189">
              <w:rPr>
                <w:rFonts w:eastAsia="Times New Roman"/>
                <w:b/>
                <w:bCs/>
                <w:sz w:val="16"/>
                <w:szCs w:val="16"/>
              </w:rPr>
              <w:t>Leistungsindikatoren für Lehre</w:t>
            </w:r>
          </w:p>
        </w:tc>
        <w:tc>
          <w:tcPr>
            <w:tcW w:w="288" w:type="dxa"/>
            <w:tcBorders>
              <w:top w:val="nil"/>
              <w:left w:val="single" w:sz="4" w:space="0" w:color="auto"/>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nil"/>
              <w:left w:val="nil"/>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24</w:t>
            </w:r>
          </w:p>
        </w:tc>
        <w:tc>
          <w:tcPr>
            <w:tcW w:w="3685" w:type="dxa"/>
            <w:tcBorders>
              <w:top w:val="single" w:sz="4" w:space="0" w:color="D9D9D9"/>
              <w:left w:val="nil"/>
              <w:bottom w:val="nil"/>
              <w:right w:val="nil"/>
            </w:tcBorders>
            <w:shd w:val="clear" w:color="auto" w:fill="auto"/>
            <w:vAlign w:val="center"/>
            <w:hideMark/>
          </w:tcPr>
          <w:p w:rsidR="007917EC" w:rsidRPr="00014189" w:rsidRDefault="007917EC" w:rsidP="007917EC">
            <w:pPr>
              <w:rPr>
                <w:rFonts w:eastAsia="Times New Roman"/>
                <w:sz w:val="14"/>
                <w:szCs w:val="14"/>
              </w:rPr>
            </w:pPr>
            <w:r w:rsidRPr="00014189">
              <w:rPr>
                <w:rFonts w:eastAsia="Times New Roman"/>
                <w:sz w:val="14"/>
                <w:szCs w:val="14"/>
              </w:rPr>
              <w:t>Studierende in der Regelstudienzeit</w:t>
            </w:r>
          </w:p>
        </w:tc>
        <w:tc>
          <w:tcPr>
            <w:tcW w:w="288" w:type="dxa"/>
            <w:tcBorders>
              <w:top w:val="single" w:sz="4" w:space="0" w:color="D9D9D9"/>
              <w:left w:val="single" w:sz="4" w:space="0" w:color="auto"/>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single" w:sz="4" w:space="0" w:color="D9D9D9"/>
              <w:left w:val="nil"/>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25</w:t>
            </w:r>
          </w:p>
        </w:tc>
        <w:tc>
          <w:tcPr>
            <w:tcW w:w="3685" w:type="dxa"/>
            <w:tcBorders>
              <w:top w:val="nil"/>
              <w:left w:val="nil"/>
              <w:bottom w:val="nil"/>
              <w:right w:val="nil"/>
            </w:tcBorders>
            <w:shd w:val="clear" w:color="auto" w:fill="auto"/>
            <w:vAlign w:val="center"/>
            <w:hideMark/>
          </w:tcPr>
          <w:p w:rsidR="007917EC" w:rsidRPr="00014189" w:rsidRDefault="007917EC" w:rsidP="007917EC">
            <w:pPr>
              <w:rPr>
                <w:rFonts w:eastAsia="Times New Roman"/>
                <w:sz w:val="14"/>
                <w:szCs w:val="14"/>
              </w:rPr>
            </w:pPr>
            <w:r w:rsidRPr="00014189">
              <w:rPr>
                <w:rFonts w:eastAsia="Times New Roman"/>
                <w:sz w:val="14"/>
                <w:szCs w:val="14"/>
              </w:rPr>
              <w:t>ausländische Studierende</w:t>
            </w:r>
          </w:p>
        </w:tc>
        <w:tc>
          <w:tcPr>
            <w:tcW w:w="288" w:type="dxa"/>
            <w:tcBorders>
              <w:top w:val="nil"/>
              <w:left w:val="single" w:sz="4" w:space="0" w:color="auto"/>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26</w:t>
            </w:r>
          </w:p>
        </w:tc>
        <w:tc>
          <w:tcPr>
            <w:tcW w:w="3685" w:type="dxa"/>
            <w:tcBorders>
              <w:top w:val="nil"/>
              <w:left w:val="nil"/>
              <w:bottom w:val="nil"/>
              <w:right w:val="nil"/>
            </w:tcBorders>
            <w:shd w:val="clear" w:color="auto" w:fill="auto"/>
            <w:vAlign w:val="center"/>
            <w:hideMark/>
          </w:tcPr>
          <w:p w:rsidR="007917EC" w:rsidRPr="00014189" w:rsidRDefault="007917EC" w:rsidP="007917EC">
            <w:pPr>
              <w:rPr>
                <w:rFonts w:eastAsia="Times New Roman"/>
                <w:sz w:val="14"/>
                <w:szCs w:val="14"/>
              </w:rPr>
            </w:pPr>
            <w:r w:rsidRPr="00014189">
              <w:rPr>
                <w:rFonts w:eastAsia="Times New Roman"/>
                <w:sz w:val="14"/>
                <w:szCs w:val="14"/>
              </w:rPr>
              <w:t>Betreuungsrelationen</w:t>
            </w:r>
          </w:p>
        </w:tc>
        <w:tc>
          <w:tcPr>
            <w:tcW w:w="288" w:type="dxa"/>
            <w:tcBorders>
              <w:top w:val="nil"/>
              <w:left w:val="single" w:sz="4" w:space="0" w:color="auto"/>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27</w:t>
            </w:r>
          </w:p>
        </w:tc>
        <w:tc>
          <w:tcPr>
            <w:tcW w:w="3685" w:type="dxa"/>
            <w:tcBorders>
              <w:top w:val="nil"/>
              <w:left w:val="nil"/>
              <w:bottom w:val="nil"/>
              <w:right w:val="nil"/>
            </w:tcBorders>
            <w:shd w:val="clear" w:color="auto" w:fill="auto"/>
            <w:vAlign w:val="center"/>
            <w:hideMark/>
          </w:tcPr>
          <w:p w:rsidR="007917EC" w:rsidRPr="00014189" w:rsidRDefault="007917EC" w:rsidP="007917EC">
            <w:pPr>
              <w:rPr>
                <w:rFonts w:eastAsia="Times New Roman"/>
                <w:sz w:val="14"/>
                <w:szCs w:val="14"/>
              </w:rPr>
            </w:pPr>
            <w:proofErr w:type="spellStart"/>
            <w:r w:rsidRPr="00014189">
              <w:rPr>
                <w:rFonts w:eastAsia="Times New Roman"/>
                <w:sz w:val="14"/>
                <w:szCs w:val="14"/>
              </w:rPr>
              <w:t>Abbrecherquoten</w:t>
            </w:r>
            <w:proofErr w:type="spellEnd"/>
          </w:p>
        </w:tc>
        <w:tc>
          <w:tcPr>
            <w:tcW w:w="288" w:type="dxa"/>
            <w:tcBorders>
              <w:top w:val="nil"/>
              <w:left w:val="single" w:sz="4" w:space="0" w:color="auto"/>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17EC" w:rsidRPr="00014189" w:rsidRDefault="007917EC" w:rsidP="007917EC">
            <w:pPr>
              <w:jc w:val="center"/>
              <w:rPr>
                <w:rFonts w:eastAsia="Times New Roman"/>
                <w:b/>
                <w:bCs/>
                <w:sz w:val="14"/>
                <w:szCs w:val="14"/>
              </w:rPr>
            </w:pPr>
            <w:r w:rsidRPr="00014189">
              <w:rPr>
                <w:rFonts w:eastAsia="Times New Roman"/>
                <w:b/>
                <w:bCs/>
                <w:sz w:val="14"/>
                <w:szCs w:val="14"/>
              </w:rPr>
              <w:t>C</w:t>
            </w:r>
          </w:p>
        </w:tc>
        <w:tc>
          <w:tcPr>
            <w:tcW w:w="3685" w:type="dxa"/>
            <w:tcBorders>
              <w:top w:val="single" w:sz="4" w:space="0" w:color="auto"/>
              <w:left w:val="nil"/>
              <w:bottom w:val="single" w:sz="4" w:space="0" w:color="auto"/>
              <w:right w:val="nil"/>
            </w:tcBorders>
            <w:shd w:val="clear" w:color="000000" w:fill="FFFF99"/>
            <w:noWrap/>
            <w:vAlign w:val="center"/>
            <w:hideMark/>
          </w:tcPr>
          <w:p w:rsidR="007917EC" w:rsidRPr="00014189" w:rsidRDefault="007917EC" w:rsidP="007917EC">
            <w:pPr>
              <w:rPr>
                <w:rFonts w:eastAsia="Times New Roman"/>
                <w:b/>
                <w:bCs/>
                <w:sz w:val="16"/>
                <w:szCs w:val="16"/>
              </w:rPr>
            </w:pPr>
            <w:r w:rsidRPr="00014189">
              <w:rPr>
                <w:rFonts w:eastAsia="Times New Roman"/>
                <w:b/>
                <w:bCs/>
                <w:sz w:val="16"/>
                <w:szCs w:val="16"/>
              </w:rPr>
              <w:t>Forschung</w:t>
            </w:r>
          </w:p>
        </w:tc>
        <w:tc>
          <w:tcPr>
            <w:tcW w:w="28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single" w:sz="4" w:space="0" w:color="auto"/>
              <w:left w:val="nil"/>
              <w:bottom w:val="single" w:sz="4" w:space="0" w:color="auto"/>
              <w:right w:val="single" w:sz="4" w:space="0" w:color="auto"/>
            </w:tcBorders>
            <w:shd w:val="clear" w:color="000000" w:fill="FFFF99"/>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auto"/>
              <w:left w:val="nil"/>
              <w:bottom w:val="single" w:sz="4" w:space="0" w:color="auto"/>
              <w:right w:val="single" w:sz="4" w:space="0" w:color="auto"/>
            </w:tcBorders>
            <w:shd w:val="clear" w:color="000000" w:fill="FFFF99"/>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single" w:sz="4" w:space="0" w:color="auto"/>
              <w:right w:val="single" w:sz="4" w:space="0" w:color="auto"/>
            </w:tcBorders>
            <w:shd w:val="clear" w:color="000000" w:fill="FFFF99"/>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single" w:sz="4" w:space="0" w:color="auto"/>
              <w:right w:val="single" w:sz="4" w:space="0" w:color="auto"/>
            </w:tcBorders>
            <w:shd w:val="clear" w:color="000000" w:fill="FFFF99"/>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single" w:sz="4" w:space="0" w:color="auto"/>
              <w:right w:val="single" w:sz="4" w:space="0" w:color="auto"/>
            </w:tcBorders>
            <w:shd w:val="clear" w:color="000000" w:fill="FFFF99"/>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single" w:sz="4" w:space="0" w:color="auto"/>
              <w:right w:val="single" w:sz="4" w:space="0" w:color="auto"/>
            </w:tcBorders>
            <w:shd w:val="clear" w:color="000000" w:fill="FFFF99"/>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single" w:sz="4" w:space="0" w:color="auto"/>
              <w:right w:val="single" w:sz="4" w:space="0" w:color="auto"/>
            </w:tcBorders>
            <w:shd w:val="clear" w:color="000000" w:fill="FFFF99"/>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single" w:sz="4" w:space="0" w:color="auto"/>
              <w:right w:val="single" w:sz="4" w:space="0" w:color="auto"/>
            </w:tcBorders>
            <w:shd w:val="clear" w:color="000000" w:fill="FFFF99"/>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55"/>
        </w:trPr>
        <w:tc>
          <w:tcPr>
            <w:tcW w:w="441" w:type="dxa"/>
            <w:tcBorders>
              <w:top w:val="nil"/>
              <w:left w:val="single" w:sz="4" w:space="0" w:color="auto"/>
              <w:bottom w:val="single" w:sz="4" w:space="0" w:color="D9D9D9"/>
              <w:right w:val="single" w:sz="4" w:space="0" w:color="auto"/>
            </w:tcBorders>
            <w:shd w:val="clear" w:color="000000" w:fill="CCFFCC"/>
            <w:vAlign w:val="center"/>
            <w:hideMark/>
          </w:tcPr>
          <w:p w:rsidR="007917EC" w:rsidRPr="00014189" w:rsidRDefault="007917EC" w:rsidP="007917EC">
            <w:pPr>
              <w:rPr>
                <w:rFonts w:eastAsia="Times New Roman"/>
                <w:sz w:val="16"/>
                <w:szCs w:val="16"/>
              </w:rPr>
            </w:pPr>
            <w:r w:rsidRPr="00014189">
              <w:rPr>
                <w:rFonts w:eastAsia="Times New Roman"/>
                <w:sz w:val="16"/>
                <w:szCs w:val="16"/>
              </w:rPr>
              <w:t> </w:t>
            </w:r>
          </w:p>
        </w:tc>
        <w:tc>
          <w:tcPr>
            <w:tcW w:w="3685" w:type="dxa"/>
            <w:tcBorders>
              <w:top w:val="nil"/>
              <w:left w:val="nil"/>
              <w:bottom w:val="single" w:sz="4" w:space="0" w:color="D9D9D9"/>
              <w:right w:val="nil"/>
            </w:tcBorders>
            <w:shd w:val="clear" w:color="000000" w:fill="CCFFCC"/>
            <w:noWrap/>
            <w:vAlign w:val="center"/>
            <w:hideMark/>
          </w:tcPr>
          <w:p w:rsidR="007917EC" w:rsidRPr="00014189" w:rsidRDefault="007917EC" w:rsidP="007917EC">
            <w:pPr>
              <w:rPr>
                <w:rFonts w:eastAsia="Times New Roman"/>
                <w:b/>
                <w:bCs/>
                <w:sz w:val="16"/>
                <w:szCs w:val="16"/>
              </w:rPr>
            </w:pPr>
            <w:r w:rsidRPr="00014189">
              <w:rPr>
                <w:rFonts w:eastAsia="Times New Roman"/>
                <w:b/>
                <w:bCs/>
                <w:sz w:val="16"/>
                <w:szCs w:val="16"/>
              </w:rPr>
              <w:t>Forschung allgemein</w:t>
            </w:r>
          </w:p>
        </w:tc>
        <w:tc>
          <w:tcPr>
            <w:tcW w:w="288" w:type="dxa"/>
            <w:tcBorders>
              <w:top w:val="nil"/>
              <w:left w:val="single" w:sz="4" w:space="0" w:color="auto"/>
              <w:bottom w:val="single" w:sz="4" w:space="0" w:color="D9D9D9"/>
              <w:right w:val="single" w:sz="4" w:space="0" w:color="auto"/>
            </w:tcBorders>
            <w:shd w:val="clear" w:color="000000" w:fill="CCFFCC"/>
            <w:noWrap/>
            <w:vAlign w:val="center"/>
            <w:hideMark/>
          </w:tcPr>
          <w:p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nil"/>
              <w:left w:val="nil"/>
              <w:bottom w:val="single" w:sz="4" w:space="0" w:color="D9D9D9"/>
              <w:right w:val="single" w:sz="4" w:space="0" w:color="auto"/>
            </w:tcBorders>
            <w:shd w:val="clear" w:color="000000" w:fill="CCFFCC"/>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55"/>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28</w:t>
            </w:r>
          </w:p>
        </w:tc>
        <w:tc>
          <w:tcPr>
            <w:tcW w:w="3685" w:type="dxa"/>
            <w:tcBorders>
              <w:top w:val="nil"/>
              <w:left w:val="nil"/>
              <w:bottom w:val="single" w:sz="4" w:space="0" w:color="D9D9D9"/>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Sonderforschungsbereiche</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55"/>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29</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Patente / Erfindungen</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single" w:sz="4" w:space="0" w:color="auto"/>
              <w:left w:val="nil"/>
              <w:bottom w:val="nil"/>
              <w:right w:val="nil"/>
            </w:tcBorders>
            <w:shd w:val="clear" w:color="000000" w:fill="CCFFCC"/>
            <w:noWrap/>
            <w:vAlign w:val="center"/>
            <w:hideMark/>
          </w:tcPr>
          <w:p w:rsidR="007917EC" w:rsidRPr="00014189" w:rsidRDefault="007917EC" w:rsidP="007917EC">
            <w:pPr>
              <w:rPr>
                <w:rFonts w:eastAsia="Times New Roman"/>
                <w:b/>
                <w:bCs/>
                <w:sz w:val="16"/>
                <w:szCs w:val="16"/>
              </w:rPr>
            </w:pPr>
            <w:r w:rsidRPr="00014189">
              <w:rPr>
                <w:rFonts w:eastAsia="Times New Roman"/>
                <w:b/>
                <w:bCs/>
                <w:sz w:val="16"/>
                <w:szCs w:val="16"/>
              </w:rPr>
              <w:t>Stipendiaten</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55"/>
        </w:trPr>
        <w:tc>
          <w:tcPr>
            <w:tcW w:w="441" w:type="dxa"/>
            <w:tcBorders>
              <w:top w:val="nil"/>
              <w:left w:val="single" w:sz="4" w:space="0" w:color="auto"/>
              <w:bottom w:val="single" w:sz="4" w:space="0" w:color="C0C0C0"/>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30</w:t>
            </w:r>
          </w:p>
        </w:tc>
        <w:tc>
          <w:tcPr>
            <w:tcW w:w="3685" w:type="dxa"/>
            <w:tcBorders>
              <w:top w:val="nil"/>
              <w:left w:val="nil"/>
              <w:bottom w:val="single" w:sz="4" w:space="0" w:color="C0C0C0"/>
              <w:right w:val="nil"/>
            </w:tcBorders>
            <w:shd w:val="clear" w:color="auto" w:fill="auto"/>
            <w:vAlign w:val="center"/>
            <w:hideMark/>
          </w:tcPr>
          <w:p w:rsidR="007917EC" w:rsidRPr="00014189" w:rsidRDefault="007917EC" w:rsidP="007917EC">
            <w:pPr>
              <w:rPr>
                <w:rFonts w:eastAsia="Times New Roman"/>
                <w:sz w:val="14"/>
                <w:szCs w:val="14"/>
              </w:rPr>
            </w:pPr>
            <w:r w:rsidRPr="00014189">
              <w:rPr>
                <w:rFonts w:eastAsia="Times New Roman"/>
                <w:sz w:val="14"/>
                <w:szCs w:val="14"/>
              </w:rPr>
              <w:t>Stiftungs- und Sonderprofessuren</w:t>
            </w:r>
          </w:p>
        </w:tc>
        <w:tc>
          <w:tcPr>
            <w:tcW w:w="288" w:type="dxa"/>
            <w:tcBorders>
              <w:top w:val="nil"/>
              <w:left w:val="single" w:sz="4" w:space="0" w:color="auto"/>
              <w:bottom w:val="single" w:sz="4" w:space="0" w:color="C0C0C0"/>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single" w:sz="4" w:space="0" w:color="C0C0C0"/>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55"/>
        </w:trPr>
        <w:tc>
          <w:tcPr>
            <w:tcW w:w="441" w:type="dxa"/>
            <w:tcBorders>
              <w:top w:val="nil"/>
              <w:left w:val="single" w:sz="4" w:space="0" w:color="auto"/>
              <w:bottom w:val="single" w:sz="4" w:space="0" w:color="C0C0C0"/>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31</w:t>
            </w:r>
          </w:p>
        </w:tc>
        <w:tc>
          <w:tcPr>
            <w:tcW w:w="3685" w:type="dxa"/>
            <w:tcBorders>
              <w:top w:val="nil"/>
              <w:left w:val="nil"/>
              <w:bottom w:val="single" w:sz="4" w:space="0" w:color="C0C0C0"/>
              <w:right w:val="nil"/>
            </w:tcBorders>
            <w:shd w:val="clear" w:color="auto" w:fill="auto"/>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Stipendiaten/Preisträger </w:t>
            </w:r>
            <w:proofErr w:type="spellStart"/>
            <w:r w:rsidRPr="00014189">
              <w:rPr>
                <w:rFonts w:eastAsia="Times New Roman"/>
                <w:sz w:val="14"/>
                <w:szCs w:val="14"/>
              </w:rPr>
              <w:t>Av</w:t>
            </w:r>
            <w:r>
              <w:rPr>
                <w:rFonts w:eastAsia="Times New Roman"/>
                <w:sz w:val="14"/>
                <w:szCs w:val="14"/>
              </w:rPr>
              <w:t>H</w:t>
            </w:r>
            <w:proofErr w:type="spellEnd"/>
            <w:r w:rsidRPr="00014189">
              <w:rPr>
                <w:rFonts w:eastAsia="Times New Roman"/>
                <w:sz w:val="14"/>
                <w:szCs w:val="14"/>
              </w:rPr>
              <w:t>-Stiftung</w:t>
            </w:r>
          </w:p>
        </w:tc>
        <w:tc>
          <w:tcPr>
            <w:tcW w:w="288" w:type="dxa"/>
            <w:tcBorders>
              <w:top w:val="nil"/>
              <w:left w:val="single" w:sz="4" w:space="0" w:color="auto"/>
              <w:bottom w:val="single" w:sz="4" w:space="0" w:color="C0C0C0"/>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single" w:sz="4" w:space="0" w:color="C0C0C0"/>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55"/>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32</w:t>
            </w:r>
          </w:p>
        </w:tc>
        <w:tc>
          <w:tcPr>
            <w:tcW w:w="3685" w:type="dxa"/>
            <w:tcBorders>
              <w:top w:val="nil"/>
              <w:left w:val="nil"/>
              <w:bottom w:val="nil"/>
              <w:right w:val="nil"/>
            </w:tcBorders>
            <w:shd w:val="clear" w:color="auto" w:fill="auto"/>
            <w:vAlign w:val="center"/>
            <w:hideMark/>
          </w:tcPr>
          <w:p w:rsidR="007917EC" w:rsidRPr="00014189" w:rsidRDefault="007917EC" w:rsidP="007917EC">
            <w:pPr>
              <w:rPr>
                <w:rFonts w:eastAsia="Times New Roman"/>
                <w:sz w:val="14"/>
                <w:szCs w:val="14"/>
              </w:rPr>
            </w:pPr>
            <w:r w:rsidRPr="00014189">
              <w:rPr>
                <w:rFonts w:eastAsia="Times New Roman"/>
                <w:sz w:val="14"/>
                <w:szCs w:val="14"/>
              </w:rPr>
              <w:t>DAAD-Stipendiaten zu Promotion</w:t>
            </w:r>
          </w:p>
        </w:tc>
        <w:tc>
          <w:tcPr>
            <w:tcW w:w="288" w:type="dxa"/>
            <w:tcBorders>
              <w:top w:val="nil"/>
              <w:left w:val="single" w:sz="4" w:space="0" w:color="auto"/>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nil"/>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single" w:sz="4" w:space="0" w:color="auto"/>
              <w:left w:val="nil"/>
              <w:bottom w:val="nil"/>
              <w:right w:val="nil"/>
            </w:tcBorders>
            <w:shd w:val="clear" w:color="000000" w:fill="CCFFCC"/>
            <w:noWrap/>
            <w:vAlign w:val="center"/>
            <w:hideMark/>
          </w:tcPr>
          <w:p w:rsidR="007917EC" w:rsidRPr="00014189" w:rsidRDefault="007917EC" w:rsidP="007917EC">
            <w:pPr>
              <w:rPr>
                <w:rFonts w:eastAsia="Times New Roman"/>
                <w:b/>
                <w:bCs/>
                <w:sz w:val="16"/>
                <w:szCs w:val="16"/>
              </w:rPr>
            </w:pPr>
            <w:r w:rsidRPr="00014189">
              <w:rPr>
                <w:rFonts w:eastAsia="Times New Roman"/>
                <w:b/>
                <w:bCs/>
                <w:sz w:val="16"/>
                <w:szCs w:val="16"/>
              </w:rPr>
              <w:t>Wissenschaftlicher Nachwuchs</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33</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Habilitationen</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4F198C" w:rsidRDefault="007917EC" w:rsidP="007917EC">
            <w:pPr>
              <w:jc w:val="center"/>
              <w:rPr>
                <w:rFonts w:eastAsia="Times New Roman"/>
                <w:b/>
                <w:sz w:val="12"/>
                <w:szCs w:val="12"/>
              </w:rPr>
            </w:pPr>
            <w:r w:rsidRPr="004F198C">
              <w:rPr>
                <w:rFonts w:eastAsia="Times New Roman"/>
                <w:b/>
                <w:sz w:val="12"/>
                <w:szCs w:val="12"/>
              </w:rPr>
              <w:t>m</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single" w:sz="4" w:space="0" w:color="C0C0C0"/>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C0C0C0"/>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C0C0C0"/>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34</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kooperative Promotionen</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single" w:sz="4" w:space="0" w:color="C0C0C0"/>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single" w:sz="4" w:space="0" w:color="C0C0C0"/>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35</w:t>
            </w:r>
          </w:p>
        </w:tc>
        <w:tc>
          <w:tcPr>
            <w:tcW w:w="3685" w:type="dxa"/>
            <w:tcBorders>
              <w:top w:val="single" w:sz="4" w:space="0" w:color="C0C0C0"/>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Promotionen</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single" w:sz="4" w:space="0" w:color="C0C0C0"/>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C0C0C0"/>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C0C0C0"/>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C0C0C0"/>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C0C0C0"/>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single" w:sz="4" w:space="0" w:color="C0C0C0"/>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C0C0C0"/>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C0C0C0"/>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36</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Juniorprofessoren</w:t>
            </w: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single" w:sz="4" w:space="0" w:color="BFBFBF"/>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BFBFBF"/>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BFBFBF"/>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BFBFBF"/>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BFBFBF"/>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BFBFBF"/>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4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37</w:t>
            </w:r>
          </w:p>
        </w:tc>
        <w:tc>
          <w:tcPr>
            <w:tcW w:w="3685" w:type="dxa"/>
            <w:tcBorders>
              <w:top w:val="nil"/>
              <w:left w:val="nil"/>
              <w:bottom w:val="single" w:sz="4" w:space="0" w:color="auto"/>
              <w:right w:val="nil"/>
            </w:tcBorders>
            <w:shd w:val="clear" w:color="auto" w:fill="auto"/>
            <w:vAlign w:val="center"/>
            <w:hideMark/>
          </w:tcPr>
          <w:p w:rsidR="007917EC" w:rsidRPr="00014189" w:rsidRDefault="007917EC" w:rsidP="007917EC">
            <w:pPr>
              <w:rPr>
                <w:rFonts w:eastAsia="Times New Roman"/>
                <w:sz w:val="14"/>
                <w:szCs w:val="14"/>
              </w:rPr>
            </w:pPr>
            <w:r w:rsidRPr="00014189">
              <w:rPr>
                <w:rFonts w:eastAsia="Times New Roman"/>
                <w:sz w:val="14"/>
                <w:szCs w:val="14"/>
              </w:rPr>
              <w:t>Graduiertenkollegs mit Sprecherfunktion</w:t>
            </w:r>
          </w:p>
        </w:tc>
        <w:tc>
          <w:tcPr>
            <w:tcW w:w="288" w:type="dxa"/>
            <w:tcBorders>
              <w:top w:val="nil"/>
              <w:left w:val="single" w:sz="4" w:space="0" w:color="auto"/>
              <w:bottom w:val="single" w:sz="4" w:space="0" w:color="auto"/>
              <w:right w:val="single" w:sz="4" w:space="0" w:color="auto"/>
            </w:tcBorders>
            <w:shd w:val="clear" w:color="auto" w:fill="auto"/>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single" w:sz="4" w:space="0" w:color="auto"/>
              <w:right w:val="single" w:sz="4" w:space="0" w:color="auto"/>
            </w:tcBorders>
            <w:shd w:val="clear" w:color="auto" w:fill="auto"/>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C0C0C0"/>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C0C0C0"/>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bl>
    <w:p w:rsidR="007917EC" w:rsidRDefault="007917EC" w:rsidP="007917EC"/>
    <w:p w:rsidR="007917EC" w:rsidRDefault="007917EC" w:rsidP="007917EC">
      <w:r>
        <w:br w:type="page"/>
      </w:r>
    </w:p>
    <w:tbl>
      <w:tblPr>
        <w:tblW w:w="9261" w:type="dxa"/>
        <w:tblInd w:w="55" w:type="dxa"/>
        <w:tblLayout w:type="fixed"/>
        <w:tblCellMar>
          <w:left w:w="70" w:type="dxa"/>
          <w:right w:w="70" w:type="dxa"/>
        </w:tblCellMar>
        <w:tblLook w:val="04A0" w:firstRow="1" w:lastRow="0" w:firstColumn="1" w:lastColumn="0" w:noHBand="0" w:noVBand="1"/>
      </w:tblPr>
      <w:tblGrid>
        <w:gridCol w:w="441"/>
        <w:gridCol w:w="3685"/>
        <w:gridCol w:w="284"/>
        <w:gridCol w:w="567"/>
        <w:gridCol w:w="607"/>
        <w:gridCol w:w="240"/>
        <w:gridCol w:w="367"/>
        <w:gridCol w:w="213"/>
        <w:gridCol w:w="395"/>
        <w:gridCol w:w="185"/>
        <w:gridCol w:w="422"/>
        <w:gridCol w:w="158"/>
        <w:gridCol w:w="450"/>
        <w:gridCol w:w="130"/>
        <w:gridCol w:w="477"/>
        <w:gridCol w:w="108"/>
        <w:gridCol w:w="372"/>
        <w:gridCol w:w="128"/>
        <w:gridCol w:w="32"/>
      </w:tblGrid>
      <w:tr w:rsidR="007917EC" w:rsidRPr="00D90FB9" w:rsidTr="007917EC">
        <w:trPr>
          <w:gridAfter w:val="1"/>
          <w:wAfter w:w="32" w:type="dxa"/>
          <w:trHeight w:val="7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lastRenderedPageBreak/>
              <w:t>Nr.</w:t>
            </w:r>
          </w:p>
        </w:tc>
        <w:tc>
          <w:tcPr>
            <w:tcW w:w="3685" w:type="dxa"/>
            <w:tcBorders>
              <w:top w:val="single" w:sz="4" w:space="0" w:color="auto"/>
              <w:left w:val="nil"/>
              <w:bottom w:val="single" w:sz="4" w:space="0" w:color="auto"/>
              <w:right w:val="nil"/>
            </w:tcBorders>
            <w:shd w:val="clear" w:color="auto" w:fill="auto"/>
            <w:noWrap/>
            <w:vAlign w:val="center"/>
            <w:hideMark/>
          </w:tcPr>
          <w:p w:rsidR="007917EC" w:rsidRPr="00D90FB9" w:rsidRDefault="007917EC" w:rsidP="007917EC">
            <w:pPr>
              <w:rPr>
                <w:rFonts w:eastAsia="Times New Roman"/>
                <w:b/>
                <w:bCs/>
                <w:sz w:val="16"/>
                <w:szCs w:val="16"/>
              </w:rPr>
            </w:pPr>
            <w:r w:rsidRPr="00D90FB9">
              <w:rPr>
                <w:rFonts w:eastAsia="Times New Roman"/>
                <w:b/>
                <w:bCs/>
                <w:sz w:val="16"/>
                <w:szCs w:val="16"/>
              </w:rPr>
              <w:t>Indikator</w:t>
            </w:r>
          </w:p>
        </w:tc>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917EC" w:rsidRPr="00B23BAF" w:rsidRDefault="007917EC" w:rsidP="007917EC">
            <w:pPr>
              <w:jc w:val="center"/>
              <w:rPr>
                <w:rFonts w:eastAsia="Times New Roman"/>
                <w:b/>
                <w:sz w:val="12"/>
                <w:szCs w:val="12"/>
              </w:rPr>
            </w:pPr>
            <w:r w:rsidRPr="00B23BAF">
              <w:rPr>
                <w:rFonts w:eastAsia="Times New Roman"/>
                <w:b/>
                <w:sz w:val="12"/>
                <w:szCs w:val="12"/>
              </w:rPr>
              <w:t>Geschlecht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917EC" w:rsidRPr="00B23BAF" w:rsidRDefault="007917EC" w:rsidP="007917EC">
            <w:pPr>
              <w:jc w:val="center"/>
              <w:rPr>
                <w:rFonts w:eastAsia="Times New Roman"/>
                <w:b/>
                <w:sz w:val="16"/>
                <w:szCs w:val="16"/>
              </w:rPr>
            </w:pPr>
            <w:r w:rsidRPr="00B23BAF">
              <w:rPr>
                <w:rFonts w:eastAsia="Times New Roman"/>
                <w:b/>
                <w:sz w:val="16"/>
                <w:szCs w:val="16"/>
              </w:rPr>
              <w:t>Jahr</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MLU</w:t>
            </w:r>
          </w:p>
        </w:tc>
        <w:tc>
          <w:tcPr>
            <w:tcW w:w="607"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OGU</w:t>
            </w:r>
          </w:p>
        </w:tc>
        <w:tc>
          <w:tcPr>
            <w:tcW w:w="608"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r w:rsidRPr="00D90FB9">
              <w:rPr>
                <w:rFonts w:eastAsia="Times New Roman"/>
                <w:b/>
                <w:bCs/>
                <w:sz w:val="16"/>
                <w:szCs w:val="16"/>
              </w:rPr>
              <w:t>KHH</w:t>
            </w:r>
          </w:p>
        </w:tc>
        <w:tc>
          <w:tcPr>
            <w:tcW w:w="607"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HA</w:t>
            </w:r>
            <w:r>
              <w:rPr>
                <w:rFonts w:eastAsia="Times New Roman"/>
                <w:b/>
                <w:bCs/>
                <w:sz w:val="16"/>
                <w:szCs w:val="16"/>
              </w:rPr>
              <w:t>h</w:t>
            </w:r>
            <w:proofErr w:type="spellEnd"/>
          </w:p>
        </w:tc>
        <w:tc>
          <w:tcPr>
            <w:tcW w:w="608" w:type="dxa"/>
            <w:gridSpan w:val="2"/>
            <w:tcBorders>
              <w:top w:val="single" w:sz="4" w:space="0" w:color="auto"/>
              <w:left w:val="nil"/>
              <w:bottom w:val="single" w:sz="4" w:space="0" w:color="auto"/>
              <w:right w:val="nil"/>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HHz</w:t>
            </w:r>
            <w:proofErr w:type="spellEnd"/>
          </w:p>
        </w:tc>
        <w:tc>
          <w:tcPr>
            <w:tcW w:w="6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HMd</w:t>
            </w:r>
            <w:proofErr w:type="spellEnd"/>
          </w:p>
        </w:tc>
        <w:tc>
          <w:tcPr>
            <w:tcW w:w="608" w:type="dxa"/>
            <w:gridSpan w:val="3"/>
            <w:tcBorders>
              <w:top w:val="single" w:sz="4" w:space="0" w:color="auto"/>
              <w:left w:val="nil"/>
              <w:bottom w:val="single" w:sz="4" w:space="0" w:color="auto"/>
              <w:right w:val="single" w:sz="4" w:space="0" w:color="auto"/>
            </w:tcBorders>
            <w:shd w:val="clear" w:color="auto" w:fill="auto"/>
            <w:noWrap/>
            <w:vAlign w:val="center"/>
            <w:hideMark/>
          </w:tcPr>
          <w:p w:rsidR="007917EC" w:rsidRPr="00D90FB9" w:rsidRDefault="007917EC" w:rsidP="007917EC">
            <w:pPr>
              <w:jc w:val="center"/>
              <w:rPr>
                <w:rFonts w:eastAsia="Times New Roman"/>
                <w:b/>
                <w:bCs/>
                <w:sz w:val="16"/>
                <w:szCs w:val="16"/>
              </w:rPr>
            </w:pPr>
            <w:proofErr w:type="spellStart"/>
            <w:r w:rsidRPr="00D90FB9">
              <w:rPr>
                <w:rFonts w:eastAsia="Times New Roman"/>
                <w:b/>
                <w:bCs/>
                <w:sz w:val="16"/>
                <w:szCs w:val="16"/>
              </w:rPr>
              <w:t>HMe</w:t>
            </w:r>
            <w:proofErr w:type="spellEnd"/>
          </w:p>
        </w:tc>
      </w:tr>
      <w:tr w:rsidR="007917EC" w:rsidRPr="00014189" w:rsidTr="007917EC">
        <w:trPr>
          <w:gridAfter w:val="1"/>
          <w:wAfter w:w="32" w:type="dxa"/>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single" w:sz="4" w:space="0" w:color="auto"/>
              <w:left w:val="nil"/>
              <w:bottom w:val="nil"/>
              <w:right w:val="nil"/>
            </w:tcBorders>
            <w:shd w:val="clear" w:color="000000" w:fill="CCFFCC"/>
            <w:noWrap/>
            <w:vAlign w:val="center"/>
            <w:hideMark/>
          </w:tcPr>
          <w:p w:rsidR="007917EC" w:rsidRPr="00014189" w:rsidRDefault="007917EC" w:rsidP="007917EC">
            <w:pPr>
              <w:rPr>
                <w:rFonts w:eastAsia="Times New Roman"/>
                <w:b/>
                <w:bCs/>
                <w:sz w:val="16"/>
                <w:szCs w:val="16"/>
              </w:rPr>
            </w:pPr>
            <w:r w:rsidRPr="00014189">
              <w:rPr>
                <w:rFonts w:eastAsia="Times New Roman"/>
                <w:b/>
                <w:bCs/>
                <w:sz w:val="16"/>
                <w:szCs w:val="16"/>
              </w:rPr>
              <w:t>Drittmittel</w:t>
            </w:r>
          </w:p>
        </w:tc>
        <w:tc>
          <w:tcPr>
            <w:tcW w:w="284" w:type="dxa"/>
            <w:tcBorders>
              <w:top w:val="single" w:sz="4" w:space="0" w:color="auto"/>
              <w:left w:val="single" w:sz="4" w:space="0" w:color="auto"/>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single" w:sz="4" w:space="0" w:color="auto"/>
              <w:left w:val="nil"/>
              <w:bottom w:val="nil"/>
              <w:right w:val="single" w:sz="4" w:space="0" w:color="auto"/>
            </w:tcBorders>
            <w:shd w:val="clear" w:color="000000" w:fill="CCFFCC"/>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gridAfter w:val="1"/>
          <w:wAfter w:w="32" w:type="dxa"/>
          <w:trHeight w:val="255"/>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38</w:t>
            </w:r>
          </w:p>
        </w:tc>
        <w:tc>
          <w:tcPr>
            <w:tcW w:w="3685" w:type="dxa"/>
            <w:tcBorders>
              <w:top w:val="single" w:sz="4" w:space="0" w:color="D9D9D9"/>
              <w:left w:val="nil"/>
              <w:bottom w:val="nil"/>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Drittmittel [1.000 Euro]</w:t>
            </w:r>
          </w:p>
        </w:tc>
        <w:tc>
          <w:tcPr>
            <w:tcW w:w="284" w:type="dxa"/>
            <w:tcBorders>
              <w:top w:val="single" w:sz="4" w:space="0" w:color="D9D9D9"/>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single" w:sz="4" w:space="0" w:color="D9D9D9"/>
              <w:left w:val="nil"/>
              <w:bottom w:val="nil"/>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single" w:sz="4" w:space="0" w:color="D9D9D9"/>
              <w:left w:val="nil"/>
              <w:bottom w:val="single" w:sz="4" w:space="0" w:color="D9D9D9"/>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EU</w:t>
            </w:r>
          </w:p>
        </w:tc>
        <w:tc>
          <w:tcPr>
            <w:tcW w:w="284"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D9D9D9"/>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D9D9D9"/>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single" w:sz="4" w:space="0" w:color="D9D9D9"/>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davon Forschungsrahmenprogramm / Horizont 2020</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davon St</w:t>
            </w:r>
            <w:r>
              <w:rPr>
                <w:rFonts w:eastAsia="Times New Roman"/>
                <w:sz w:val="14"/>
                <w:szCs w:val="14"/>
              </w:rPr>
              <w:t>r</w:t>
            </w:r>
            <w:r w:rsidRPr="00014189">
              <w:rPr>
                <w:rFonts w:eastAsia="Times New Roman"/>
                <w:sz w:val="14"/>
                <w:szCs w:val="14"/>
              </w:rPr>
              <w:t>ukturfonds</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Bund (BMBF, </w:t>
            </w:r>
            <w:proofErr w:type="spellStart"/>
            <w:r w:rsidRPr="00014189">
              <w:rPr>
                <w:rFonts w:eastAsia="Times New Roman"/>
                <w:sz w:val="14"/>
                <w:szCs w:val="14"/>
              </w:rPr>
              <w:t>BMWi</w:t>
            </w:r>
            <w:proofErr w:type="spellEnd"/>
            <w:r w:rsidRPr="00014189">
              <w:rPr>
                <w:rFonts w:eastAsia="Times New Roman"/>
                <w:sz w:val="14"/>
                <w:szCs w:val="14"/>
              </w:rPr>
              <w:t xml:space="preserve"> u.a.)</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DFG</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Wirtschaft</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davon regionale Wirtschaft</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gridAfter w:val="1"/>
          <w:wAfter w:w="32"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auto"/>
              <w:right w:val="nil"/>
            </w:tcBorders>
            <w:shd w:val="clear" w:color="auto" w:fill="auto"/>
            <w:noWrap/>
            <w:vAlign w:val="center"/>
            <w:hideMark/>
          </w:tcPr>
          <w:p w:rsidR="007917EC" w:rsidRPr="00014189" w:rsidRDefault="007917EC" w:rsidP="007917EC">
            <w:pPr>
              <w:rPr>
                <w:rFonts w:eastAsia="Times New Roman"/>
                <w:sz w:val="14"/>
                <w:szCs w:val="14"/>
              </w:rPr>
            </w:pPr>
            <w:r w:rsidRPr="00014189">
              <w:rPr>
                <w:rFonts w:eastAsia="Times New Roman"/>
                <w:sz w:val="14"/>
                <w:szCs w:val="14"/>
              </w:rPr>
              <w:t xml:space="preserve">   Land</w:t>
            </w:r>
          </w:p>
        </w:tc>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auto"/>
              <w:right w:val="single" w:sz="4" w:space="0" w:color="auto"/>
            </w:tcBorders>
            <w:shd w:val="clear" w:color="auto" w:fill="auto"/>
            <w:noWrap/>
            <w:vAlign w:val="center"/>
            <w:hideMark/>
          </w:tcPr>
          <w:p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rsidTr="007917EC">
        <w:trPr>
          <w:trHeight w:val="255"/>
        </w:trPr>
        <w:tc>
          <w:tcPr>
            <w:tcW w:w="441" w:type="dxa"/>
            <w:tcBorders>
              <w:top w:val="nil"/>
              <w:left w:val="nil"/>
              <w:bottom w:val="nil"/>
              <w:right w:val="nil"/>
            </w:tcBorders>
            <w:shd w:val="clear" w:color="auto" w:fill="auto"/>
            <w:noWrap/>
            <w:vAlign w:val="center"/>
            <w:hideMark/>
          </w:tcPr>
          <w:p w:rsidR="007917EC" w:rsidRPr="00014189" w:rsidRDefault="007917EC" w:rsidP="007917EC">
            <w:pPr>
              <w:jc w:val="center"/>
              <w:rPr>
                <w:rFonts w:eastAsia="Times New Roman"/>
                <w:sz w:val="14"/>
                <w:szCs w:val="14"/>
              </w:rPr>
            </w:pPr>
          </w:p>
        </w:tc>
        <w:tc>
          <w:tcPr>
            <w:tcW w:w="3685" w:type="dxa"/>
            <w:tcBorders>
              <w:top w:val="nil"/>
              <w:left w:val="nil"/>
              <w:bottom w:val="nil"/>
              <w:right w:val="nil"/>
            </w:tcBorders>
            <w:shd w:val="clear" w:color="auto" w:fill="auto"/>
            <w:vAlign w:val="center"/>
            <w:hideMark/>
          </w:tcPr>
          <w:p w:rsidR="007917EC" w:rsidRPr="00014189" w:rsidRDefault="007917EC" w:rsidP="007917EC">
            <w:pPr>
              <w:rPr>
                <w:rFonts w:eastAsia="Times New Roman"/>
                <w:sz w:val="14"/>
                <w:szCs w:val="14"/>
              </w:rPr>
            </w:pPr>
          </w:p>
        </w:tc>
        <w:tc>
          <w:tcPr>
            <w:tcW w:w="284" w:type="dxa"/>
            <w:tcBorders>
              <w:top w:val="nil"/>
              <w:left w:val="nil"/>
              <w:bottom w:val="nil"/>
              <w:right w:val="nil"/>
            </w:tcBorders>
            <w:shd w:val="clear" w:color="auto" w:fill="auto"/>
            <w:noWrap/>
            <w:vAlign w:val="center"/>
            <w:hideMark/>
          </w:tcPr>
          <w:p w:rsidR="007917EC" w:rsidRPr="00014189" w:rsidRDefault="007917EC" w:rsidP="007917EC">
            <w:pPr>
              <w:jc w:val="center"/>
              <w:rPr>
                <w:rFonts w:eastAsia="Times New Roman"/>
                <w:sz w:val="14"/>
                <w:szCs w:val="14"/>
              </w:rPr>
            </w:pPr>
          </w:p>
        </w:tc>
        <w:tc>
          <w:tcPr>
            <w:tcW w:w="1414" w:type="dxa"/>
            <w:gridSpan w:val="3"/>
            <w:tcBorders>
              <w:top w:val="nil"/>
              <w:left w:val="nil"/>
              <w:bottom w:val="nil"/>
              <w:right w:val="nil"/>
            </w:tcBorders>
            <w:shd w:val="clear" w:color="auto" w:fill="auto"/>
            <w:noWrap/>
            <w:vAlign w:val="center"/>
            <w:hideMark/>
          </w:tcPr>
          <w:p w:rsidR="007917EC" w:rsidRPr="00014189" w:rsidRDefault="007917EC" w:rsidP="007917EC">
            <w:pPr>
              <w:jc w:val="center"/>
              <w:rPr>
                <w:rFonts w:eastAsia="Times New Roman"/>
                <w:sz w:val="12"/>
                <w:szCs w:val="12"/>
              </w:rPr>
            </w:pPr>
          </w:p>
        </w:tc>
        <w:tc>
          <w:tcPr>
            <w:tcW w:w="580" w:type="dxa"/>
            <w:gridSpan w:val="2"/>
            <w:tcBorders>
              <w:top w:val="nil"/>
              <w:left w:val="nil"/>
              <w:bottom w:val="nil"/>
              <w:right w:val="nil"/>
            </w:tcBorders>
            <w:shd w:val="clear" w:color="auto" w:fill="auto"/>
            <w:noWrap/>
            <w:vAlign w:val="center"/>
            <w:hideMark/>
          </w:tcPr>
          <w:p w:rsidR="007917EC" w:rsidRPr="00014189" w:rsidRDefault="007917EC" w:rsidP="007917EC">
            <w:pPr>
              <w:jc w:val="right"/>
              <w:rPr>
                <w:rFonts w:eastAsia="Times New Roman"/>
                <w:sz w:val="16"/>
                <w:szCs w:val="16"/>
              </w:rPr>
            </w:pPr>
          </w:p>
        </w:tc>
        <w:tc>
          <w:tcPr>
            <w:tcW w:w="580" w:type="dxa"/>
            <w:gridSpan w:val="2"/>
            <w:tcBorders>
              <w:top w:val="nil"/>
              <w:left w:val="nil"/>
              <w:bottom w:val="nil"/>
              <w:right w:val="nil"/>
            </w:tcBorders>
            <w:shd w:val="clear" w:color="auto" w:fill="auto"/>
            <w:noWrap/>
            <w:vAlign w:val="center"/>
            <w:hideMark/>
          </w:tcPr>
          <w:p w:rsidR="007917EC" w:rsidRPr="00014189" w:rsidRDefault="007917EC" w:rsidP="007917EC">
            <w:pPr>
              <w:jc w:val="right"/>
              <w:rPr>
                <w:rFonts w:eastAsia="Times New Roman"/>
                <w:sz w:val="16"/>
                <w:szCs w:val="16"/>
              </w:rPr>
            </w:pPr>
          </w:p>
        </w:tc>
        <w:tc>
          <w:tcPr>
            <w:tcW w:w="580" w:type="dxa"/>
            <w:gridSpan w:val="2"/>
            <w:tcBorders>
              <w:top w:val="nil"/>
              <w:left w:val="nil"/>
              <w:bottom w:val="nil"/>
              <w:right w:val="nil"/>
            </w:tcBorders>
            <w:shd w:val="clear" w:color="auto" w:fill="auto"/>
            <w:noWrap/>
            <w:vAlign w:val="center"/>
            <w:hideMark/>
          </w:tcPr>
          <w:p w:rsidR="007917EC" w:rsidRPr="00014189" w:rsidRDefault="007917EC" w:rsidP="007917EC">
            <w:pPr>
              <w:jc w:val="right"/>
              <w:rPr>
                <w:rFonts w:eastAsia="Times New Roman"/>
                <w:sz w:val="16"/>
                <w:szCs w:val="16"/>
              </w:rPr>
            </w:pPr>
          </w:p>
        </w:tc>
        <w:tc>
          <w:tcPr>
            <w:tcW w:w="580" w:type="dxa"/>
            <w:gridSpan w:val="2"/>
            <w:tcBorders>
              <w:top w:val="nil"/>
              <w:left w:val="nil"/>
              <w:bottom w:val="nil"/>
              <w:right w:val="nil"/>
            </w:tcBorders>
            <w:shd w:val="clear" w:color="auto" w:fill="auto"/>
            <w:noWrap/>
            <w:vAlign w:val="center"/>
            <w:hideMark/>
          </w:tcPr>
          <w:p w:rsidR="007917EC" w:rsidRPr="00014189" w:rsidRDefault="007917EC" w:rsidP="007917EC">
            <w:pPr>
              <w:jc w:val="right"/>
              <w:rPr>
                <w:rFonts w:eastAsia="Times New Roman"/>
                <w:sz w:val="16"/>
                <w:szCs w:val="16"/>
              </w:rPr>
            </w:pPr>
          </w:p>
        </w:tc>
        <w:tc>
          <w:tcPr>
            <w:tcW w:w="585" w:type="dxa"/>
            <w:gridSpan w:val="2"/>
            <w:tcBorders>
              <w:top w:val="nil"/>
              <w:left w:val="nil"/>
              <w:bottom w:val="nil"/>
              <w:right w:val="nil"/>
            </w:tcBorders>
            <w:shd w:val="clear" w:color="auto" w:fill="auto"/>
            <w:noWrap/>
            <w:vAlign w:val="center"/>
            <w:hideMark/>
          </w:tcPr>
          <w:p w:rsidR="007917EC" w:rsidRPr="00014189" w:rsidRDefault="007917EC" w:rsidP="007917EC">
            <w:pPr>
              <w:jc w:val="right"/>
              <w:rPr>
                <w:rFonts w:eastAsia="Times New Roman"/>
                <w:sz w:val="16"/>
                <w:szCs w:val="16"/>
              </w:rPr>
            </w:pPr>
          </w:p>
        </w:tc>
        <w:tc>
          <w:tcPr>
            <w:tcW w:w="372" w:type="dxa"/>
            <w:tcBorders>
              <w:top w:val="nil"/>
              <w:left w:val="nil"/>
              <w:bottom w:val="nil"/>
              <w:right w:val="nil"/>
            </w:tcBorders>
            <w:shd w:val="clear" w:color="auto" w:fill="auto"/>
            <w:noWrap/>
            <w:vAlign w:val="center"/>
            <w:hideMark/>
          </w:tcPr>
          <w:p w:rsidR="007917EC" w:rsidRPr="00014189" w:rsidRDefault="007917EC" w:rsidP="007917EC">
            <w:pPr>
              <w:jc w:val="right"/>
              <w:rPr>
                <w:rFonts w:eastAsia="Times New Roman"/>
                <w:sz w:val="16"/>
                <w:szCs w:val="16"/>
              </w:rPr>
            </w:pPr>
          </w:p>
        </w:tc>
        <w:tc>
          <w:tcPr>
            <w:tcW w:w="160" w:type="dxa"/>
            <w:gridSpan w:val="2"/>
            <w:tcBorders>
              <w:top w:val="nil"/>
              <w:left w:val="nil"/>
              <w:bottom w:val="nil"/>
              <w:right w:val="nil"/>
            </w:tcBorders>
            <w:shd w:val="clear" w:color="auto" w:fill="auto"/>
            <w:noWrap/>
            <w:vAlign w:val="center"/>
            <w:hideMark/>
          </w:tcPr>
          <w:p w:rsidR="007917EC" w:rsidRPr="00014189" w:rsidRDefault="007917EC" w:rsidP="007917EC">
            <w:pPr>
              <w:jc w:val="right"/>
              <w:rPr>
                <w:rFonts w:eastAsia="Times New Roman"/>
                <w:sz w:val="16"/>
                <w:szCs w:val="16"/>
              </w:rPr>
            </w:pPr>
          </w:p>
        </w:tc>
      </w:tr>
      <w:tr w:rsidR="007917EC" w:rsidRPr="00014189" w:rsidTr="007917EC">
        <w:trPr>
          <w:trHeight w:val="255"/>
        </w:trPr>
        <w:tc>
          <w:tcPr>
            <w:tcW w:w="4126" w:type="dxa"/>
            <w:gridSpan w:val="2"/>
            <w:tcBorders>
              <w:top w:val="nil"/>
              <w:left w:val="nil"/>
              <w:bottom w:val="nil"/>
              <w:right w:val="nil"/>
            </w:tcBorders>
            <w:shd w:val="clear" w:color="auto" w:fill="auto"/>
            <w:noWrap/>
            <w:vAlign w:val="bottom"/>
            <w:hideMark/>
          </w:tcPr>
          <w:p w:rsidR="007917EC" w:rsidRPr="00014189" w:rsidRDefault="007917EC" w:rsidP="007917EC">
            <w:pPr>
              <w:rPr>
                <w:rFonts w:eastAsia="Times New Roman"/>
                <w:sz w:val="16"/>
                <w:szCs w:val="16"/>
              </w:rPr>
            </w:pPr>
            <w:r w:rsidRPr="00014189">
              <w:rPr>
                <w:rFonts w:eastAsia="Times New Roman"/>
                <w:sz w:val="16"/>
                <w:szCs w:val="16"/>
              </w:rPr>
              <w:t>m=männlich, w=weiblich, i=insgesamt</w:t>
            </w:r>
          </w:p>
        </w:tc>
        <w:tc>
          <w:tcPr>
            <w:tcW w:w="284" w:type="dxa"/>
            <w:tcBorders>
              <w:top w:val="nil"/>
              <w:left w:val="nil"/>
              <w:bottom w:val="nil"/>
              <w:right w:val="nil"/>
            </w:tcBorders>
            <w:shd w:val="clear" w:color="auto" w:fill="auto"/>
            <w:noWrap/>
            <w:vAlign w:val="bottom"/>
            <w:hideMark/>
          </w:tcPr>
          <w:p w:rsidR="007917EC" w:rsidRPr="00014189" w:rsidRDefault="007917EC" w:rsidP="007917EC">
            <w:pPr>
              <w:jc w:val="center"/>
              <w:rPr>
                <w:rFonts w:eastAsia="Times New Roman"/>
                <w:sz w:val="16"/>
                <w:szCs w:val="16"/>
              </w:rPr>
            </w:pPr>
          </w:p>
        </w:tc>
        <w:tc>
          <w:tcPr>
            <w:tcW w:w="1414" w:type="dxa"/>
            <w:gridSpan w:val="3"/>
            <w:tcBorders>
              <w:top w:val="nil"/>
              <w:left w:val="nil"/>
              <w:bottom w:val="nil"/>
              <w:right w:val="nil"/>
            </w:tcBorders>
            <w:shd w:val="clear" w:color="auto" w:fill="auto"/>
            <w:noWrap/>
            <w:vAlign w:val="bottom"/>
            <w:hideMark/>
          </w:tcPr>
          <w:p w:rsidR="007917EC" w:rsidRPr="00014189" w:rsidRDefault="007917EC" w:rsidP="007917EC">
            <w:pPr>
              <w:rPr>
                <w:rFonts w:eastAsia="Times New Roman"/>
                <w:sz w:val="16"/>
                <w:szCs w:val="16"/>
              </w:rPr>
            </w:pPr>
          </w:p>
        </w:tc>
        <w:tc>
          <w:tcPr>
            <w:tcW w:w="580" w:type="dxa"/>
            <w:gridSpan w:val="2"/>
            <w:tcBorders>
              <w:top w:val="nil"/>
              <w:left w:val="nil"/>
              <w:bottom w:val="nil"/>
              <w:right w:val="nil"/>
            </w:tcBorders>
            <w:shd w:val="clear" w:color="auto" w:fill="auto"/>
            <w:noWrap/>
            <w:vAlign w:val="bottom"/>
            <w:hideMark/>
          </w:tcPr>
          <w:p w:rsidR="007917EC" w:rsidRPr="00014189" w:rsidRDefault="007917EC" w:rsidP="007917EC">
            <w:pPr>
              <w:jc w:val="center"/>
              <w:rPr>
                <w:rFonts w:eastAsia="Times New Roman"/>
                <w:sz w:val="18"/>
                <w:szCs w:val="18"/>
              </w:rPr>
            </w:pPr>
          </w:p>
        </w:tc>
        <w:tc>
          <w:tcPr>
            <w:tcW w:w="580" w:type="dxa"/>
            <w:gridSpan w:val="2"/>
            <w:tcBorders>
              <w:top w:val="nil"/>
              <w:left w:val="nil"/>
              <w:bottom w:val="nil"/>
              <w:right w:val="nil"/>
            </w:tcBorders>
            <w:shd w:val="clear" w:color="auto" w:fill="auto"/>
            <w:noWrap/>
            <w:vAlign w:val="bottom"/>
            <w:hideMark/>
          </w:tcPr>
          <w:p w:rsidR="007917EC" w:rsidRPr="00014189" w:rsidRDefault="007917EC" w:rsidP="007917EC">
            <w:pPr>
              <w:rPr>
                <w:rFonts w:eastAsia="Times New Roman"/>
                <w:sz w:val="18"/>
                <w:szCs w:val="18"/>
              </w:rPr>
            </w:pPr>
          </w:p>
        </w:tc>
        <w:tc>
          <w:tcPr>
            <w:tcW w:w="580" w:type="dxa"/>
            <w:gridSpan w:val="2"/>
            <w:tcBorders>
              <w:top w:val="nil"/>
              <w:left w:val="nil"/>
              <w:bottom w:val="nil"/>
              <w:right w:val="nil"/>
            </w:tcBorders>
            <w:shd w:val="clear" w:color="auto" w:fill="auto"/>
            <w:noWrap/>
            <w:vAlign w:val="bottom"/>
            <w:hideMark/>
          </w:tcPr>
          <w:p w:rsidR="007917EC" w:rsidRPr="00014189" w:rsidRDefault="007917EC" w:rsidP="007917EC">
            <w:pPr>
              <w:rPr>
                <w:rFonts w:eastAsia="Times New Roman"/>
                <w:sz w:val="18"/>
                <w:szCs w:val="18"/>
              </w:rPr>
            </w:pPr>
          </w:p>
        </w:tc>
        <w:tc>
          <w:tcPr>
            <w:tcW w:w="580" w:type="dxa"/>
            <w:gridSpan w:val="2"/>
            <w:tcBorders>
              <w:top w:val="nil"/>
              <w:left w:val="nil"/>
              <w:bottom w:val="nil"/>
              <w:right w:val="nil"/>
            </w:tcBorders>
            <w:shd w:val="clear" w:color="auto" w:fill="auto"/>
            <w:noWrap/>
            <w:vAlign w:val="bottom"/>
            <w:hideMark/>
          </w:tcPr>
          <w:p w:rsidR="007917EC" w:rsidRPr="00014189" w:rsidRDefault="007917EC" w:rsidP="007917EC">
            <w:pPr>
              <w:rPr>
                <w:rFonts w:eastAsia="Times New Roman"/>
                <w:sz w:val="18"/>
                <w:szCs w:val="18"/>
              </w:rPr>
            </w:pPr>
          </w:p>
        </w:tc>
        <w:tc>
          <w:tcPr>
            <w:tcW w:w="585" w:type="dxa"/>
            <w:gridSpan w:val="2"/>
            <w:tcBorders>
              <w:top w:val="nil"/>
              <w:left w:val="nil"/>
              <w:bottom w:val="nil"/>
              <w:right w:val="nil"/>
            </w:tcBorders>
            <w:shd w:val="clear" w:color="auto" w:fill="auto"/>
            <w:noWrap/>
            <w:vAlign w:val="bottom"/>
            <w:hideMark/>
          </w:tcPr>
          <w:p w:rsidR="007917EC" w:rsidRPr="00014189" w:rsidRDefault="007917EC" w:rsidP="007917EC">
            <w:pPr>
              <w:rPr>
                <w:rFonts w:eastAsia="Times New Roman"/>
                <w:sz w:val="18"/>
                <w:szCs w:val="18"/>
              </w:rPr>
            </w:pPr>
          </w:p>
        </w:tc>
        <w:tc>
          <w:tcPr>
            <w:tcW w:w="372" w:type="dxa"/>
            <w:tcBorders>
              <w:top w:val="nil"/>
              <w:left w:val="nil"/>
              <w:bottom w:val="nil"/>
              <w:right w:val="nil"/>
            </w:tcBorders>
            <w:shd w:val="clear" w:color="auto" w:fill="auto"/>
            <w:noWrap/>
            <w:vAlign w:val="bottom"/>
            <w:hideMark/>
          </w:tcPr>
          <w:p w:rsidR="007917EC" w:rsidRPr="00014189" w:rsidRDefault="007917EC" w:rsidP="007917EC">
            <w:pPr>
              <w:rPr>
                <w:rFonts w:eastAsia="Times New Roman"/>
                <w:sz w:val="18"/>
                <w:szCs w:val="18"/>
              </w:rPr>
            </w:pPr>
          </w:p>
        </w:tc>
        <w:tc>
          <w:tcPr>
            <w:tcW w:w="160" w:type="dxa"/>
            <w:gridSpan w:val="2"/>
            <w:tcBorders>
              <w:top w:val="nil"/>
              <w:left w:val="nil"/>
              <w:bottom w:val="nil"/>
              <w:right w:val="nil"/>
            </w:tcBorders>
            <w:shd w:val="clear" w:color="auto" w:fill="auto"/>
            <w:noWrap/>
            <w:vAlign w:val="bottom"/>
            <w:hideMark/>
          </w:tcPr>
          <w:p w:rsidR="007917EC" w:rsidRPr="00014189" w:rsidRDefault="007917EC" w:rsidP="007917EC">
            <w:pPr>
              <w:jc w:val="right"/>
              <w:rPr>
                <w:rFonts w:eastAsia="Times New Roman"/>
                <w:sz w:val="18"/>
                <w:szCs w:val="18"/>
              </w:rPr>
            </w:pPr>
          </w:p>
        </w:tc>
      </w:tr>
    </w:tbl>
    <w:p w:rsidR="007917EC" w:rsidRDefault="007917EC" w:rsidP="007917EC">
      <w:pPr>
        <w:pStyle w:val="Formatvorlage2"/>
        <w:spacing w:before="120" w:after="120"/>
        <w:rPr>
          <w:rFonts w:ascii="Arial" w:eastAsia="Calibri" w:hAnsi="Arial"/>
        </w:rPr>
      </w:pPr>
    </w:p>
    <w:p w:rsidR="007917EC" w:rsidRDefault="007917EC" w:rsidP="007917EC">
      <w:r>
        <w:br w:type="page"/>
      </w:r>
    </w:p>
    <w:p w:rsidR="007917EC" w:rsidRPr="009177C5" w:rsidRDefault="007917EC" w:rsidP="007917EC">
      <w:pPr>
        <w:keepNext/>
        <w:widowControl w:val="0"/>
        <w:autoSpaceDE w:val="0"/>
        <w:autoSpaceDN w:val="0"/>
        <w:adjustRightInd w:val="0"/>
        <w:spacing w:after="120"/>
        <w:jc w:val="right"/>
        <w:outlineLvl w:val="2"/>
        <w:rPr>
          <w:rFonts w:eastAsia="Times New Roman"/>
          <w:b/>
          <w:bCs/>
          <w:caps/>
          <w:sz w:val="24"/>
          <w:szCs w:val="24"/>
        </w:rPr>
      </w:pPr>
      <w:r>
        <w:rPr>
          <w:rFonts w:eastAsia="Times New Roman"/>
          <w:b/>
          <w:bCs/>
          <w:caps/>
          <w:sz w:val="24"/>
          <w:szCs w:val="24"/>
        </w:rPr>
        <w:lastRenderedPageBreak/>
        <w:t>Anlage 4</w:t>
      </w:r>
    </w:p>
    <w:p w:rsidR="007917EC" w:rsidRDefault="007917EC" w:rsidP="007917EC">
      <w:pPr>
        <w:spacing w:after="480"/>
        <w:jc w:val="center"/>
        <w:rPr>
          <w:b/>
          <w:sz w:val="24"/>
          <w:szCs w:val="24"/>
        </w:rPr>
      </w:pPr>
      <w:r w:rsidRPr="00F75006">
        <w:rPr>
          <w:b/>
          <w:sz w:val="24"/>
          <w:szCs w:val="24"/>
        </w:rPr>
        <w:t>Universitäre Lehrerbildung</w:t>
      </w:r>
    </w:p>
    <w:p w:rsidR="007917EC" w:rsidRPr="007917EC" w:rsidRDefault="007917EC" w:rsidP="007917EC">
      <w:pPr>
        <w:pStyle w:val="Formatvorlage2"/>
        <w:spacing w:before="120" w:after="120"/>
        <w:rPr>
          <w:rFonts w:ascii="Arial" w:eastAsia="Calibri" w:hAnsi="Arial"/>
        </w:rPr>
      </w:pPr>
      <w:r w:rsidRPr="00F75006">
        <w:rPr>
          <w:rFonts w:ascii="Arial" w:eastAsia="Calibri" w:hAnsi="Arial"/>
          <w:highlight w:val="yellow"/>
        </w:rPr>
        <w:t xml:space="preserve">entsprechend </w:t>
      </w:r>
      <w:r w:rsidRPr="00F53770">
        <w:rPr>
          <w:rFonts w:ascii="Arial" w:eastAsia="Calibri" w:hAnsi="Arial"/>
          <w:highlight w:val="yellow"/>
        </w:rPr>
        <w:t>Entwurf einfügen</w:t>
      </w:r>
    </w:p>
    <w:sectPr w:rsidR="007917EC" w:rsidRPr="007917EC" w:rsidSect="00D84F73">
      <w:headerReference w:type="default" r:id="rId11"/>
      <w:footerReference w:type="default" r:id="rId12"/>
      <w:headerReference w:type="first" r:id="rId13"/>
      <w:pgSz w:w="11906" w:h="16838" w:code="9"/>
      <w:pgMar w:top="1383" w:right="1418" w:bottom="851" w:left="1418" w:header="709" w:footer="346" w:gutter="0"/>
      <w:lnNumType w:countBy="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önsch, Alexander" w:date="2015-01-19T16:07:00Z" w:initials="HA">
    <w:p w:rsidR="003E50A9" w:rsidRDefault="003E50A9">
      <w:pPr>
        <w:pStyle w:val="Kommentartext"/>
      </w:pPr>
      <w:r>
        <w:rPr>
          <w:rStyle w:val="Kommentarzeichen"/>
        </w:rPr>
        <w:annotationRef/>
      </w:r>
      <w:r>
        <w:t>Siehe eigener Entwurf in Anlage 1</w:t>
      </w:r>
    </w:p>
  </w:comment>
  <w:comment w:id="1" w:author="Hönsch, Alexander" w:date="2015-01-19T16:10:00Z" w:initials="HA">
    <w:p w:rsidR="003E50A9" w:rsidRDefault="003E50A9">
      <w:pPr>
        <w:pStyle w:val="Kommentartext"/>
      </w:pPr>
      <w:r>
        <w:rPr>
          <w:rStyle w:val="Kommentarzeichen"/>
        </w:rPr>
        <w:annotationRef/>
      </w:r>
      <w:r>
        <w:t>Noch nicht b</w:t>
      </w:r>
      <w:r>
        <w:t>e</w:t>
      </w:r>
      <w:r>
        <w:t>schlossen, Grundlage die HEPs?</w:t>
      </w:r>
    </w:p>
  </w:comment>
  <w:comment w:id="2" w:author="Hönsch, Alexander" w:date="2015-01-19T16:15:00Z" w:initials="HA">
    <w:p w:rsidR="003E50A9" w:rsidRDefault="003E50A9">
      <w:pPr>
        <w:pStyle w:val="Kommentartext"/>
      </w:pPr>
      <w:r>
        <w:rPr>
          <w:rStyle w:val="Kommentarzeichen"/>
        </w:rPr>
        <w:annotationRef/>
      </w:r>
      <w:r>
        <w:t>3rd Mission sowohl in Forschung als auch Lehre</w:t>
      </w:r>
    </w:p>
  </w:comment>
  <w:comment w:id="3" w:author="Hönsch, Alexander" w:date="2015-01-19T16:17:00Z" w:initials="HA">
    <w:p w:rsidR="003E50A9" w:rsidRDefault="003E50A9">
      <w:pPr>
        <w:pStyle w:val="Kommentartext"/>
      </w:pPr>
      <w:r>
        <w:rPr>
          <w:rStyle w:val="Kommentarzeichen"/>
        </w:rPr>
        <w:annotationRef/>
      </w:r>
      <w:r>
        <w:t>An welche B</w:t>
      </w:r>
      <w:r>
        <w:t>e</w:t>
      </w:r>
      <w:r>
        <w:t>dingungen wird die Ausschüttung der Mittel geknüpft? Einbindung der Studi</w:t>
      </w:r>
      <w:r>
        <w:t>e</w:t>
      </w:r>
      <w:r>
        <w:t>renden gewünscht, nicht nur Elitenfö</w:t>
      </w:r>
      <w:r>
        <w:t>r</w:t>
      </w:r>
      <w:r>
        <w:t>derung.</w:t>
      </w:r>
    </w:p>
  </w:comment>
  <w:comment w:id="4" w:author="Hönsch, Alexander" w:date="2015-01-19T16:20:00Z" w:initials="HA">
    <w:p w:rsidR="003E50A9" w:rsidRDefault="003E50A9">
      <w:pPr>
        <w:pStyle w:val="Kommentartext"/>
      </w:pPr>
      <w:r>
        <w:rPr>
          <w:rStyle w:val="Kommentarzeichen"/>
        </w:rPr>
        <w:annotationRef/>
      </w:r>
      <w:r>
        <w:t>Alternativ in individuellen Teil, sollte mit erwähnt werden.</w:t>
      </w:r>
    </w:p>
  </w:comment>
  <w:comment w:id="5" w:author="Hönsch, Alexander" w:date="2015-01-19T16:26:00Z" w:initials="HA">
    <w:p w:rsidR="003E50A9" w:rsidRDefault="003E50A9">
      <w:pPr>
        <w:pStyle w:val="Kommentartext"/>
      </w:pPr>
      <w:r>
        <w:rPr>
          <w:rStyle w:val="Kommentarzeichen"/>
        </w:rPr>
        <w:annotationRef/>
      </w:r>
      <w:r>
        <w:t>Die anderen Fakultäten müssen sich dem aber auch öffnen.</w:t>
      </w:r>
    </w:p>
  </w:comment>
  <w:comment w:id="6" w:author="Hönsch, Alexander" w:date="2015-01-19T16:23:00Z" w:initials="HA">
    <w:p w:rsidR="003E50A9" w:rsidRDefault="003E50A9">
      <w:pPr>
        <w:pStyle w:val="Kommentartext"/>
      </w:pPr>
      <w:r>
        <w:rPr>
          <w:rStyle w:val="Kommentarzeichen"/>
        </w:rPr>
        <w:annotationRef/>
      </w:r>
      <w:r>
        <w:t>Das MW sollte uns bei der Umstrukturierung finanziell unter die Arme greifen!</w:t>
      </w:r>
    </w:p>
  </w:comment>
  <w:comment w:id="7" w:author="Hönsch, Alexander" w:date="2015-01-19T16:32:00Z" w:initials="HA">
    <w:p w:rsidR="003E50A9" w:rsidRDefault="003E50A9">
      <w:pPr>
        <w:pStyle w:val="Kommentartext"/>
      </w:pPr>
      <w:r>
        <w:rPr>
          <w:rStyle w:val="Kommentarzeichen"/>
        </w:rPr>
        <w:annotationRef/>
      </w:r>
      <w:r>
        <w:t>Gilt dasselbe auch für Naturwissenschaften, Gei</w:t>
      </w:r>
      <w:r>
        <w:t>s</w:t>
      </w:r>
      <w:r>
        <w:t>teswissenschaften und Informatik?</w:t>
      </w:r>
    </w:p>
  </w:comment>
  <w:comment w:id="8" w:author="Hönsch, Alexander" w:date="2015-01-19T16:32:00Z" w:initials="HA">
    <w:p w:rsidR="003E50A9" w:rsidRDefault="003E50A9">
      <w:pPr>
        <w:pStyle w:val="Kommentartext"/>
      </w:pPr>
      <w:r>
        <w:rPr>
          <w:rStyle w:val="Kommentarzeichen"/>
        </w:rPr>
        <w:annotationRef/>
      </w:r>
      <w:r>
        <w:t>Wie werden diese aussehen? Sind Forschung</w:t>
      </w:r>
      <w:r>
        <w:t>s</w:t>
      </w:r>
      <w:r>
        <w:t>schwerpunkte künftige an ein mindest-Volumen von Drittmitteln gebunden bevor sie Förderung durch das Land bekommen?</w:t>
      </w:r>
    </w:p>
  </w:comment>
  <w:comment w:id="9" w:author="Hönsch, Alexander" w:date="2015-01-19T16:35:00Z" w:initials="HA">
    <w:p w:rsidR="003E50A9" w:rsidRPr="005835E5" w:rsidRDefault="003E50A9">
      <w:pPr>
        <w:pStyle w:val="Kommentartext"/>
        <w:rPr>
          <w:u w:val="double"/>
        </w:rPr>
      </w:pPr>
      <w:r>
        <w:rPr>
          <w:rStyle w:val="Kommentarzeichen"/>
        </w:rPr>
        <w:annotationRef/>
      </w:r>
      <w:r>
        <w:t>Die Drittmitt</w:t>
      </w:r>
      <w:r>
        <w:t>e</w:t>
      </w:r>
      <w:r>
        <w:t>leinwerbung gerade in den Ingenieur</w:t>
      </w:r>
      <w:r>
        <w:t>s</w:t>
      </w:r>
      <w:r>
        <w:t>wissenschaften ist schon überdurc</w:t>
      </w:r>
      <w:r>
        <w:t>h</w:t>
      </w:r>
      <w:r>
        <w:t>schnittlich, auch die Naturwissenscha</w:t>
      </w:r>
      <w:r>
        <w:t>f</w:t>
      </w:r>
      <w:r>
        <w:t>ten und die Informatik werben schon beachtlich ein. Lediglich die Humanwi</w:t>
      </w:r>
      <w:r>
        <w:t>s</w:t>
      </w:r>
      <w:r>
        <w:t xml:space="preserve">senschaften haben gewisse Engpässe. Bei ca. 50 </w:t>
      </w:r>
      <w:proofErr w:type="spellStart"/>
      <w:r>
        <w:t>Mio</w:t>
      </w:r>
      <w:proofErr w:type="spellEnd"/>
      <w:r>
        <w:t xml:space="preserve"> Drittmittel im letzten Jahr und einem Haushaltsbudget von 85 </w:t>
      </w:r>
      <w:proofErr w:type="spellStart"/>
      <w:r>
        <w:t>Mio</w:t>
      </w:r>
      <w:proofErr w:type="spellEnd"/>
      <w:r>
        <w:t xml:space="preserve"> sind es doch schon beachtlich viele Drittmittel die die Uni einwirbt. Mehr Drittmittel zu Lasten guter Betreuung?</w:t>
      </w:r>
    </w:p>
  </w:comment>
  <w:comment w:id="10" w:author="Hönsch, Alexander" w:date="2015-01-19T16:35:00Z" w:initials="HA">
    <w:p w:rsidR="003E50A9" w:rsidRDefault="003E50A9">
      <w:pPr>
        <w:pStyle w:val="Kommentartext"/>
      </w:pPr>
      <w:r>
        <w:rPr>
          <w:rStyle w:val="Kommentarzeichen"/>
        </w:rPr>
        <w:annotationRef/>
      </w:r>
      <w:r>
        <w:t>Sie Anlage 1</w:t>
      </w:r>
    </w:p>
  </w:comment>
  <w:comment w:id="11" w:author="Hönsch, Alexander" w:date="2015-01-19T16:36:00Z" w:initials="HA">
    <w:p w:rsidR="003E50A9" w:rsidRDefault="003E50A9">
      <w:pPr>
        <w:pStyle w:val="Kommentartext"/>
      </w:pPr>
      <w:r>
        <w:rPr>
          <w:rStyle w:val="Kommentarzeichen"/>
        </w:rPr>
        <w:annotationRef/>
      </w:r>
      <w:r>
        <w:t>Es sollte zw</w:t>
      </w:r>
      <w:r>
        <w:t>i</w:t>
      </w:r>
      <w:r>
        <w:t xml:space="preserve">schen </w:t>
      </w:r>
      <w:proofErr w:type="spellStart"/>
      <w:r>
        <w:t>Bchelor</w:t>
      </w:r>
      <w:proofErr w:type="spellEnd"/>
      <w:r>
        <w:t xml:space="preserve"> und Master auf jeden Fall unterschieden werden.</w:t>
      </w:r>
    </w:p>
  </w:comment>
  <w:comment w:id="12" w:author="Hönsch, Alexander" w:date="2015-01-19T16:37:00Z" w:initials="HA">
    <w:p w:rsidR="003E50A9" w:rsidRDefault="003E50A9">
      <w:pPr>
        <w:pStyle w:val="Kommentartext"/>
      </w:pPr>
      <w:r>
        <w:rPr>
          <w:rStyle w:val="Kommentarzeichen"/>
        </w:rPr>
        <w:annotationRef/>
      </w:r>
      <w:r>
        <w:t>Viel zu viel Macht wird hier dem MW gegeben, dies sollte Uni-Sache sein. Das MW sollte nicht das letzte Wort haben</w:t>
      </w:r>
    </w:p>
  </w:comment>
  <w:comment w:id="13" w:author="Hönsch, Alexander" w:date="2015-01-19T16:37:00Z" w:initials="HA">
    <w:p w:rsidR="003E50A9" w:rsidRDefault="003E50A9">
      <w:pPr>
        <w:pStyle w:val="Kommentartext"/>
      </w:pPr>
      <w:r>
        <w:rPr>
          <w:rStyle w:val="Kommentarzeichen"/>
        </w:rPr>
        <w:annotationRef/>
      </w:r>
      <w:r>
        <w:t>?</w:t>
      </w:r>
    </w:p>
  </w:comment>
  <w:comment w:id="14" w:author="Hönsch, Alexander" w:date="2015-01-19T16:41:00Z" w:initials="HA">
    <w:p w:rsidR="003E50A9" w:rsidRDefault="003E50A9">
      <w:pPr>
        <w:pStyle w:val="Kommentartext"/>
      </w:pPr>
      <w:r>
        <w:rPr>
          <w:rStyle w:val="Kommentarzeichen"/>
        </w:rPr>
        <w:annotationRef/>
      </w:r>
      <w:r>
        <w:t>Ökonomischer Druck wiederum wird wohl selten dazu beitragen, dass eine Promotion besser wird.</w:t>
      </w:r>
    </w:p>
  </w:comment>
  <w:comment w:id="15" w:author="Hönsch, Alexander" w:date="2015-01-19T16:41:00Z" w:initials="HA">
    <w:p w:rsidR="003E50A9" w:rsidRDefault="003E50A9">
      <w:pPr>
        <w:pStyle w:val="Kommentartext"/>
      </w:pPr>
      <w:r>
        <w:rPr>
          <w:rStyle w:val="Kommentarzeichen"/>
        </w:rPr>
        <w:annotationRef/>
      </w:r>
      <w:r>
        <w:t>Warum wird dieser Forschungsschwerpunkt hier explizit aufgezählt?</w:t>
      </w:r>
    </w:p>
  </w:comment>
  <w:comment w:id="16" w:author="Hönsch, Alexander" w:date="2015-01-19T16:43:00Z" w:initials="HA">
    <w:p w:rsidR="003E50A9" w:rsidRDefault="003E50A9">
      <w:pPr>
        <w:pStyle w:val="Kommentartext"/>
      </w:pPr>
      <w:r>
        <w:rPr>
          <w:rStyle w:val="Kommentarzeichen"/>
        </w:rPr>
        <w:annotationRef/>
      </w:r>
      <w:r>
        <w:t>Hätte welche Konsequenzen? Alleinige Drittmittelf</w:t>
      </w:r>
      <w:r>
        <w:t>i</w:t>
      </w:r>
      <w:r>
        <w:t>nanzierung beeinflusst die Qualität der freien Forschung und Lehre.</w:t>
      </w:r>
    </w:p>
  </w:comment>
  <w:comment w:id="17" w:author="Hönsch, Alexander" w:date="2015-01-19T16:45:00Z" w:initials="HA">
    <w:p w:rsidR="003E50A9" w:rsidRDefault="003E50A9">
      <w:pPr>
        <w:pStyle w:val="Kommentartext"/>
      </w:pPr>
      <w:r>
        <w:rPr>
          <w:rStyle w:val="Kommentarzeichen"/>
        </w:rPr>
        <w:annotationRef/>
      </w:r>
      <w:r>
        <w:t>Kann das TUGZ wirklich das leisten, was interessierten Existenzgründern aus studentischen Reihen erwarten/benötigen? Hilft eher Professoren bei Patenten und auf dieser Basis eine Firmenausgründung vorzunehmen?</w:t>
      </w:r>
    </w:p>
  </w:comment>
  <w:comment w:id="18" w:author="Hönsch, Alexander" w:date="2015-01-19T16:45:00Z" w:initials="HA">
    <w:p w:rsidR="003E50A9" w:rsidRDefault="003E50A9">
      <w:pPr>
        <w:pStyle w:val="Kommentartext"/>
      </w:pPr>
      <w:r>
        <w:rPr>
          <w:rStyle w:val="Kommentarzeichen"/>
        </w:rPr>
        <w:annotationRef/>
      </w:r>
      <w:r>
        <w:t>100% mit Hilfe z.B. noch der BAföG-Mittel.</w:t>
      </w:r>
    </w:p>
  </w:comment>
  <w:comment w:id="20" w:author="Hönsch, Alexander" w:date="2015-01-19T22:00:00Z" w:initials="HA">
    <w:p w:rsidR="00E1413A" w:rsidRDefault="00E1413A">
      <w:pPr>
        <w:pStyle w:val="Kommentartext"/>
      </w:pPr>
      <w:r>
        <w:rPr>
          <w:rStyle w:val="Kommentarzeichen"/>
        </w:rPr>
        <w:annotationRef/>
      </w:r>
      <w:r>
        <w:t>Was kann hier erhalten bleiben?</w:t>
      </w:r>
    </w:p>
  </w:comment>
  <w:comment w:id="21" w:author="Hönsch, Alexander" w:date="2015-01-19T22:00:00Z" w:initials="HA">
    <w:p w:rsidR="00E1413A" w:rsidRDefault="00E1413A">
      <w:pPr>
        <w:pStyle w:val="Kommentartext"/>
      </w:pPr>
      <w:r>
        <w:rPr>
          <w:rStyle w:val="Kommentarzeichen"/>
        </w:rPr>
        <w:annotationRef/>
      </w:r>
      <w:r>
        <w:t>In ZV der Med</w:t>
      </w:r>
      <w:r>
        <w:t>i</w:t>
      </w:r>
      <w:r>
        <w:t>ziner geregelt?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F3" w:rsidRDefault="00CB69F3" w:rsidP="00F57A70">
      <w:r>
        <w:separator/>
      </w:r>
    </w:p>
  </w:endnote>
  <w:endnote w:type="continuationSeparator" w:id="0">
    <w:p w:rsidR="00CB69F3" w:rsidRDefault="00CB69F3" w:rsidP="00F5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utiger Ligh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A9" w:rsidRPr="000F4CC7" w:rsidRDefault="003E50A9">
    <w:pPr>
      <w:pStyle w:val="Fuzeile"/>
      <w:jc w:val="center"/>
      <w:rPr>
        <w:sz w:val="16"/>
        <w:szCs w:val="16"/>
      </w:rPr>
    </w:pPr>
    <w:r w:rsidRPr="000F4CC7">
      <w:rPr>
        <w:bCs/>
        <w:sz w:val="16"/>
        <w:szCs w:val="16"/>
      </w:rPr>
      <w:fldChar w:fldCharType="begin"/>
    </w:r>
    <w:r w:rsidRPr="000F4CC7">
      <w:rPr>
        <w:bCs/>
        <w:sz w:val="16"/>
        <w:szCs w:val="16"/>
      </w:rPr>
      <w:instrText>PAGE</w:instrText>
    </w:r>
    <w:r w:rsidRPr="000F4CC7">
      <w:rPr>
        <w:bCs/>
        <w:sz w:val="16"/>
        <w:szCs w:val="16"/>
      </w:rPr>
      <w:fldChar w:fldCharType="separate"/>
    </w:r>
    <w:r w:rsidR="00E1413A">
      <w:rPr>
        <w:bCs/>
        <w:noProof/>
        <w:sz w:val="16"/>
        <w:szCs w:val="16"/>
      </w:rPr>
      <w:t>9</w:t>
    </w:r>
    <w:r w:rsidRPr="000F4CC7">
      <w:rPr>
        <w:bCs/>
        <w:sz w:val="16"/>
        <w:szCs w:val="16"/>
      </w:rPr>
      <w:fldChar w:fldCharType="end"/>
    </w:r>
    <w:r w:rsidRPr="000F4CC7">
      <w:rPr>
        <w:color w:val="FFC000"/>
        <w:sz w:val="16"/>
        <w:szCs w:val="16"/>
      </w:rPr>
      <w:t>|</w:t>
    </w:r>
    <w:r w:rsidRPr="000F4CC7">
      <w:rPr>
        <w:bCs/>
        <w:sz w:val="16"/>
        <w:szCs w:val="16"/>
      </w:rPr>
      <w:fldChar w:fldCharType="begin"/>
    </w:r>
    <w:r w:rsidRPr="000F4CC7">
      <w:rPr>
        <w:bCs/>
        <w:sz w:val="16"/>
        <w:szCs w:val="16"/>
      </w:rPr>
      <w:instrText>NUMPAGES</w:instrText>
    </w:r>
    <w:r w:rsidRPr="000F4CC7">
      <w:rPr>
        <w:bCs/>
        <w:sz w:val="16"/>
        <w:szCs w:val="16"/>
      </w:rPr>
      <w:fldChar w:fldCharType="separate"/>
    </w:r>
    <w:r w:rsidR="00E1413A">
      <w:rPr>
        <w:bCs/>
        <w:noProof/>
        <w:sz w:val="16"/>
        <w:szCs w:val="16"/>
      </w:rPr>
      <w:t>16</w:t>
    </w:r>
    <w:r w:rsidRPr="000F4CC7">
      <w:rPr>
        <w:bCs/>
        <w:sz w:val="16"/>
        <w:szCs w:val="16"/>
      </w:rPr>
      <w:fldChar w:fldCharType="end"/>
    </w:r>
  </w:p>
  <w:p w:rsidR="003E50A9" w:rsidRDefault="003E50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F3" w:rsidRDefault="00CB69F3" w:rsidP="00F57A70">
      <w:r>
        <w:separator/>
      </w:r>
    </w:p>
  </w:footnote>
  <w:footnote w:type="continuationSeparator" w:id="0">
    <w:p w:rsidR="00CB69F3" w:rsidRDefault="00CB69F3" w:rsidP="00F57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A9" w:rsidRPr="000F4CC7" w:rsidRDefault="003E50A9" w:rsidP="00597B67">
    <w:pPr>
      <w:pStyle w:val="Kopfzeile"/>
      <w:jc w:val="center"/>
      <w:rPr>
        <w:sz w:val="16"/>
        <w:szCs w:val="16"/>
      </w:rPr>
    </w:pPr>
    <w:r w:rsidRPr="000F4CC7">
      <w:rPr>
        <w:noProof/>
        <w:sz w:val="16"/>
        <w:szCs w:val="16"/>
      </w:rPr>
      <mc:AlternateContent>
        <mc:Choice Requires="wps">
          <w:drawing>
            <wp:anchor distT="0" distB="0" distL="114300" distR="114300" simplePos="0" relativeHeight="251657728" behindDoc="0" locked="0" layoutInCell="1" allowOverlap="1" wp14:anchorId="43C635E5" wp14:editId="260E57E0">
              <wp:simplePos x="0" y="0"/>
              <wp:positionH relativeFrom="column">
                <wp:posOffset>1137515</wp:posOffset>
              </wp:positionH>
              <wp:positionV relativeFrom="paragraph">
                <wp:posOffset>162628</wp:posOffset>
              </wp:positionV>
              <wp:extent cx="3530613"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13" cy="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9.55pt;margin-top:12.8pt;width:27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" strokecolor="#ffc000"/>
          </w:pict>
        </mc:Fallback>
      </mc:AlternateContent>
    </w:r>
    <w:r w:rsidRPr="000F4CC7">
      <w:rPr>
        <w:sz w:val="16"/>
        <w:szCs w:val="16"/>
      </w:rPr>
      <w:t xml:space="preserve">Zielvereinbarung </w:t>
    </w:r>
    <w:r>
      <w:rPr>
        <w:sz w:val="16"/>
        <w:szCs w:val="16"/>
      </w:rPr>
      <w:t xml:space="preserve">Otto-von-Guericke-Universität Magdeburg </w:t>
    </w:r>
    <w:r w:rsidRPr="000F4CC7">
      <w:rPr>
        <w:sz w:val="16"/>
        <w:szCs w:val="16"/>
      </w:rPr>
      <w:t>2015 –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A9" w:rsidRDefault="003E50A9" w:rsidP="00167760">
    <w:pPr>
      <w:pStyle w:val="Kopfzeile"/>
      <w:ind w:left="720"/>
      <w:jc w:val="center"/>
    </w:pPr>
    <w:r>
      <w:t>- Entwurf 09.01.2015 -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36D"/>
    <w:multiLevelType w:val="hybridMultilevel"/>
    <w:tmpl w:val="B554E916"/>
    <w:lvl w:ilvl="0" w:tplc="F4865FE8">
      <w:start w:val="201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C806BE"/>
    <w:multiLevelType w:val="hybridMultilevel"/>
    <w:tmpl w:val="C67860D6"/>
    <w:lvl w:ilvl="0" w:tplc="76668D2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B873D4"/>
    <w:multiLevelType w:val="hybridMultilevel"/>
    <w:tmpl w:val="8688A75C"/>
    <w:lvl w:ilvl="0" w:tplc="199CE074">
      <w:numFmt w:val="bullet"/>
      <w:lvlText w:val="•"/>
      <w:lvlJc w:val="left"/>
      <w:pPr>
        <w:ind w:left="1414" w:hanging="705"/>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1D40543E"/>
    <w:multiLevelType w:val="hybridMultilevel"/>
    <w:tmpl w:val="82F0D02E"/>
    <w:lvl w:ilvl="0" w:tplc="A3EC23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2F37FB4"/>
    <w:multiLevelType w:val="hybridMultilevel"/>
    <w:tmpl w:val="EAA8BDAE"/>
    <w:lvl w:ilvl="0" w:tplc="A3EC23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22104F"/>
    <w:multiLevelType w:val="hybridMultilevel"/>
    <w:tmpl w:val="47108074"/>
    <w:lvl w:ilvl="0" w:tplc="7B0E51D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983094"/>
    <w:multiLevelType w:val="hybridMultilevel"/>
    <w:tmpl w:val="BBA2B68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nsid w:val="57966FB8"/>
    <w:multiLevelType w:val="hybridMultilevel"/>
    <w:tmpl w:val="7202184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nsid w:val="5BC02D82"/>
    <w:multiLevelType w:val="hybridMultilevel"/>
    <w:tmpl w:val="A2CAC2B2"/>
    <w:lvl w:ilvl="0" w:tplc="FFFFFFFF">
      <w:start w:val="1"/>
      <w:numFmt w:val="lowerLetter"/>
      <w:pStyle w:val="Aufzhlungszeichen"/>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51"/>
        </w:tabs>
        <w:ind w:left="1451" w:hanging="360"/>
      </w:pPr>
      <w:rPr>
        <w:rFonts w:cs="Times New Roman"/>
      </w:rPr>
    </w:lvl>
    <w:lvl w:ilvl="2" w:tplc="FFFFFFFF" w:tentative="1">
      <w:start w:val="1"/>
      <w:numFmt w:val="lowerRoman"/>
      <w:lvlText w:val="%3."/>
      <w:lvlJc w:val="right"/>
      <w:pPr>
        <w:tabs>
          <w:tab w:val="num" w:pos="2171"/>
        </w:tabs>
        <w:ind w:left="2171" w:hanging="180"/>
      </w:pPr>
      <w:rPr>
        <w:rFonts w:cs="Times New Roman"/>
      </w:rPr>
    </w:lvl>
    <w:lvl w:ilvl="3" w:tplc="FFFFFFFF" w:tentative="1">
      <w:start w:val="1"/>
      <w:numFmt w:val="decimal"/>
      <w:lvlText w:val="%4."/>
      <w:lvlJc w:val="left"/>
      <w:pPr>
        <w:tabs>
          <w:tab w:val="num" w:pos="2891"/>
        </w:tabs>
        <w:ind w:left="2891" w:hanging="360"/>
      </w:pPr>
      <w:rPr>
        <w:rFonts w:cs="Times New Roman"/>
      </w:rPr>
    </w:lvl>
    <w:lvl w:ilvl="4" w:tplc="FFFFFFFF" w:tentative="1">
      <w:start w:val="1"/>
      <w:numFmt w:val="lowerLetter"/>
      <w:lvlText w:val="%5."/>
      <w:lvlJc w:val="left"/>
      <w:pPr>
        <w:tabs>
          <w:tab w:val="num" w:pos="3611"/>
        </w:tabs>
        <w:ind w:left="3611" w:hanging="360"/>
      </w:pPr>
      <w:rPr>
        <w:rFonts w:cs="Times New Roman"/>
      </w:rPr>
    </w:lvl>
    <w:lvl w:ilvl="5" w:tplc="FFFFFFFF" w:tentative="1">
      <w:start w:val="1"/>
      <w:numFmt w:val="lowerRoman"/>
      <w:lvlText w:val="%6."/>
      <w:lvlJc w:val="right"/>
      <w:pPr>
        <w:tabs>
          <w:tab w:val="num" w:pos="4331"/>
        </w:tabs>
        <w:ind w:left="4331" w:hanging="180"/>
      </w:pPr>
      <w:rPr>
        <w:rFonts w:cs="Times New Roman"/>
      </w:rPr>
    </w:lvl>
    <w:lvl w:ilvl="6" w:tplc="FFFFFFFF" w:tentative="1">
      <w:start w:val="1"/>
      <w:numFmt w:val="decimal"/>
      <w:lvlText w:val="%7."/>
      <w:lvlJc w:val="left"/>
      <w:pPr>
        <w:tabs>
          <w:tab w:val="num" w:pos="5051"/>
        </w:tabs>
        <w:ind w:left="5051" w:hanging="360"/>
      </w:pPr>
      <w:rPr>
        <w:rFonts w:cs="Times New Roman"/>
      </w:rPr>
    </w:lvl>
    <w:lvl w:ilvl="7" w:tplc="FFFFFFFF" w:tentative="1">
      <w:start w:val="1"/>
      <w:numFmt w:val="lowerLetter"/>
      <w:lvlText w:val="%8."/>
      <w:lvlJc w:val="left"/>
      <w:pPr>
        <w:tabs>
          <w:tab w:val="num" w:pos="5771"/>
        </w:tabs>
        <w:ind w:left="5771" w:hanging="360"/>
      </w:pPr>
      <w:rPr>
        <w:rFonts w:cs="Times New Roman"/>
      </w:rPr>
    </w:lvl>
    <w:lvl w:ilvl="8" w:tplc="FFFFFFFF" w:tentative="1">
      <w:start w:val="1"/>
      <w:numFmt w:val="lowerRoman"/>
      <w:lvlText w:val="%9."/>
      <w:lvlJc w:val="right"/>
      <w:pPr>
        <w:tabs>
          <w:tab w:val="num" w:pos="6491"/>
        </w:tabs>
        <w:ind w:left="6491" w:hanging="180"/>
      </w:pPr>
      <w:rPr>
        <w:rFonts w:cs="Times New Roman"/>
      </w:rPr>
    </w:lvl>
  </w:abstractNum>
  <w:abstractNum w:abstractNumId="9">
    <w:nsid w:val="5F731AE0"/>
    <w:multiLevelType w:val="hybridMultilevel"/>
    <w:tmpl w:val="8E8E7D3C"/>
    <w:lvl w:ilvl="0" w:tplc="E3FA9E20">
      <w:start w:val="1"/>
      <w:numFmt w:val="decimal"/>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64BC41DA"/>
    <w:multiLevelType w:val="hybridMultilevel"/>
    <w:tmpl w:val="6A7ED064"/>
    <w:lvl w:ilvl="0" w:tplc="E7BCA5B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A6628BF"/>
    <w:multiLevelType w:val="hybridMultilevel"/>
    <w:tmpl w:val="ABA2E59A"/>
    <w:lvl w:ilvl="0" w:tplc="EB9081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FB40E4"/>
    <w:multiLevelType w:val="hybridMultilevel"/>
    <w:tmpl w:val="C0A29948"/>
    <w:lvl w:ilvl="0" w:tplc="24E4849C">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3">
    <w:nsid w:val="7ACE7444"/>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14">
    <w:nsid w:val="7FEA059D"/>
    <w:multiLevelType w:val="hybridMultilevel"/>
    <w:tmpl w:val="3350E0AA"/>
    <w:lvl w:ilvl="0" w:tplc="FFFFFFFF">
      <w:start w:val="1"/>
      <w:numFmt w:val="lowerLett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5"/>
  </w:num>
  <w:num w:numId="2">
    <w:abstractNumId w:val="10"/>
  </w:num>
  <w:num w:numId="3">
    <w:abstractNumId w:val="1"/>
  </w:num>
  <w:num w:numId="4">
    <w:abstractNumId w:val="0"/>
  </w:num>
  <w:num w:numId="5">
    <w:abstractNumId w:val="3"/>
  </w:num>
  <w:num w:numId="6">
    <w:abstractNumId w:val="4"/>
  </w:num>
  <w:num w:numId="7">
    <w:abstractNumId w:val="7"/>
  </w:num>
  <w:num w:numId="8">
    <w:abstractNumId w:val="2"/>
  </w:num>
  <w:num w:numId="9">
    <w:abstractNumId w:val="6"/>
  </w:num>
  <w:num w:numId="10">
    <w:abstractNumId w:val="12"/>
  </w:num>
  <w:num w:numId="11">
    <w:abstractNumId w:val="11"/>
  </w:num>
  <w:num w:numId="12">
    <w:abstractNumId w:val="8"/>
  </w:num>
  <w:num w:numId="13">
    <w:abstractNumId w:val="1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DF"/>
    <w:rsid w:val="00002F2D"/>
    <w:rsid w:val="00003CE7"/>
    <w:rsid w:val="0000788B"/>
    <w:rsid w:val="000108E9"/>
    <w:rsid w:val="00010F17"/>
    <w:rsid w:val="00015624"/>
    <w:rsid w:val="00016F8B"/>
    <w:rsid w:val="0002286D"/>
    <w:rsid w:val="00025A02"/>
    <w:rsid w:val="00027944"/>
    <w:rsid w:val="00034474"/>
    <w:rsid w:val="00035D63"/>
    <w:rsid w:val="00040C21"/>
    <w:rsid w:val="000426B6"/>
    <w:rsid w:val="00064408"/>
    <w:rsid w:val="00064C6F"/>
    <w:rsid w:val="00065904"/>
    <w:rsid w:val="00066AE9"/>
    <w:rsid w:val="00070094"/>
    <w:rsid w:val="00071C29"/>
    <w:rsid w:val="00071E9E"/>
    <w:rsid w:val="000774B1"/>
    <w:rsid w:val="00083E07"/>
    <w:rsid w:val="000942F5"/>
    <w:rsid w:val="0009604C"/>
    <w:rsid w:val="000A3BBE"/>
    <w:rsid w:val="000A3EF5"/>
    <w:rsid w:val="000A4812"/>
    <w:rsid w:val="000A59F3"/>
    <w:rsid w:val="000A7827"/>
    <w:rsid w:val="000B0D51"/>
    <w:rsid w:val="000B249B"/>
    <w:rsid w:val="000B4857"/>
    <w:rsid w:val="000B5A2C"/>
    <w:rsid w:val="000B6D73"/>
    <w:rsid w:val="000C0799"/>
    <w:rsid w:val="000C3F29"/>
    <w:rsid w:val="000C6AC0"/>
    <w:rsid w:val="000C743F"/>
    <w:rsid w:val="000D0B00"/>
    <w:rsid w:val="000D4096"/>
    <w:rsid w:val="000F4B12"/>
    <w:rsid w:val="000F4CC7"/>
    <w:rsid w:val="000F7929"/>
    <w:rsid w:val="001052CC"/>
    <w:rsid w:val="00111436"/>
    <w:rsid w:val="00114469"/>
    <w:rsid w:val="0011487E"/>
    <w:rsid w:val="00114899"/>
    <w:rsid w:val="00117FBE"/>
    <w:rsid w:val="001216E6"/>
    <w:rsid w:val="00142F5B"/>
    <w:rsid w:val="001447F7"/>
    <w:rsid w:val="001517A7"/>
    <w:rsid w:val="00152792"/>
    <w:rsid w:val="00155D99"/>
    <w:rsid w:val="00160085"/>
    <w:rsid w:val="00165BC4"/>
    <w:rsid w:val="00167760"/>
    <w:rsid w:val="00170666"/>
    <w:rsid w:val="00175F52"/>
    <w:rsid w:val="00182701"/>
    <w:rsid w:val="0018353B"/>
    <w:rsid w:val="0018635F"/>
    <w:rsid w:val="00192E29"/>
    <w:rsid w:val="00194E41"/>
    <w:rsid w:val="00195615"/>
    <w:rsid w:val="001A16BB"/>
    <w:rsid w:val="001A7CFE"/>
    <w:rsid w:val="001B5F1B"/>
    <w:rsid w:val="001C02E6"/>
    <w:rsid w:val="001C2FC6"/>
    <w:rsid w:val="001C33E6"/>
    <w:rsid w:val="001C53A0"/>
    <w:rsid w:val="001D035F"/>
    <w:rsid w:val="001D0A06"/>
    <w:rsid w:val="001D2741"/>
    <w:rsid w:val="001D3B96"/>
    <w:rsid w:val="001D3EA1"/>
    <w:rsid w:val="001F2F8A"/>
    <w:rsid w:val="001F304A"/>
    <w:rsid w:val="001F5AEF"/>
    <w:rsid w:val="002006DA"/>
    <w:rsid w:val="00203540"/>
    <w:rsid w:val="00214B66"/>
    <w:rsid w:val="002252D0"/>
    <w:rsid w:val="002266F7"/>
    <w:rsid w:val="00235D3E"/>
    <w:rsid w:val="00245150"/>
    <w:rsid w:val="002515C5"/>
    <w:rsid w:val="00253F02"/>
    <w:rsid w:val="00254328"/>
    <w:rsid w:val="00256564"/>
    <w:rsid w:val="00263669"/>
    <w:rsid w:val="002638A8"/>
    <w:rsid w:val="00264442"/>
    <w:rsid w:val="0026749C"/>
    <w:rsid w:val="00270862"/>
    <w:rsid w:val="002735EB"/>
    <w:rsid w:val="002778DC"/>
    <w:rsid w:val="002813D3"/>
    <w:rsid w:val="00284425"/>
    <w:rsid w:val="002908B8"/>
    <w:rsid w:val="00296DE4"/>
    <w:rsid w:val="002A44E6"/>
    <w:rsid w:val="002A4B18"/>
    <w:rsid w:val="002B0A1B"/>
    <w:rsid w:val="002B66F1"/>
    <w:rsid w:val="002C0DA2"/>
    <w:rsid w:val="002D410C"/>
    <w:rsid w:val="002D4685"/>
    <w:rsid w:val="002D64EC"/>
    <w:rsid w:val="002D758E"/>
    <w:rsid w:val="002E1810"/>
    <w:rsid w:val="002E36E8"/>
    <w:rsid w:val="002E555E"/>
    <w:rsid w:val="002F5E13"/>
    <w:rsid w:val="002F7411"/>
    <w:rsid w:val="003046B6"/>
    <w:rsid w:val="0031053D"/>
    <w:rsid w:val="00310990"/>
    <w:rsid w:val="00312A91"/>
    <w:rsid w:val="003147F4"/>
    <w:rsid w:val="003233DC"/>
    <w:rsid w:val="00323679"/>
    <w:rsid w:val="00336A6D"/>
    <w:rsid w:val="00337C21"/>
    <w:rsid w:val="00346482"/>
    <w:rsid w:val="00365274"/>
    <w:rsid w:val="00366CE5"/>
    <w:rsid w:val="00375442"/>
    <w:rsid w:val="0037725E"/>
    <w:rsid w:val="00381584"/>
    <w:rsid w:val="0038739F"/>
    <w:rsid w:val="003915C3"/>
    <w:rsid w:val="003951CC"/>
    <w:rsid w:val="00396658"/>
    <w:rsid w:val="003A1C7D"/>
    <w:rsid w:val="003A214D"/>
    <w:rsid w:val="003A5CDB"/>
    <w:rsid w:val="003A633E"/>
    <w:rsid w:val="003C0E7A"/>
    <w:rsid w:val="003D2CBD"/>
    <w:rsid w:val="003D38DC"/>
    <w:rsid w:val="003D6EDB"/>
    <w:rsid w:val="003E3759"/>
    <w:rsid w:val="003E50A9"/>
    <w:rsid w:val="003F0667"/>
    <w:rsid w:val="00404AD7"/>
    <w:rsid w:val="00405C2D"/>
    <w:rsid w:val="00414333"/>
    <w:rsid w:val="00414D18"/>
    <w:rsid w:val="00414E4B"/>
    <w:rsid w:val="0042122C"/>
    <w:rsid w:val="00424067"/>
    <w:rsid w:val="00430894"/>
    <w:rsid w:val="00436B9A"/>
    <w:rsid w:val="0043764C"/>
    <w:rsid w:val="00440A07"/>
    <w:rsid w:val="00441EE1"/>
    <w:rsid w:val="00444BFA"/>
    <w:rsid w:val="00444CBA"/>
    <w:rsid w:val="0044564D"/>
    <w:rsid w:val="004624E9"/>
    <w:rsid w:val="00462ACA"/>
    <w:rsid w:val="00464A16"/>
    <w:rsid w:val="00466FB4"/>
    <w:rsid w:val="00467298"/>
    <w:rsid w:val="00467836"/>
    <w:rsid w:val="00475D4B"/>
    <w:rsid w:val="00475FB6"/>
    <w:rsid w:val="00481836"/>
    <w:rsid w:val="00485E2C"/>
    <w:rsid w:val="0048682D"/>
    <w:rsid w:val="004A2003"/>
    <w:rsid w:val="004A4261"/>
    <w:rsid w:val="004C0678"/>
    <w:rsid w:val="004D18ED"/>
    <w:rsid w:val="004D27E5"/>
    <w:rsid w:val="004D3309"/>
    <w:rsid w:val="004D385B"/>
    <w:rsid w:val="004E5EC9"/>
    <w:rsid w:val="004E6B80"/>
    <w:rsid w:val="004E7BE1"/>
    <w:rsid w:val="004F1D6F"/>
    <w:rsid w:val="004F31AE"/>
    <w:rsid w:val="004F56A2"/>
    <w:rsid w:val="00504917"/>
    <w:rsid w:val="00504937"/>
    <w:rsid w:val="00506A6C"/>
    <w:rsid w:val="005121AB"/>
    <w:rsid w:val="00513255"/>
    <w:rsid w:val="00514E82"/>
    <w:rsid w:val="005172DB"/>
    <w:rsid w:val="005443ED"/>
    <w:rsid w:val="00550D67"/>
    <w:rsid w:val="0055169E"/>
    <w:rsid w:val="00552680"/>
    <w:rsid w:val="005535CB"/>
    <w:rsid w:val="005541B8"/>
    <w:rsid w:val="00561BED"/>
    <w:rsid w:val="0056756F"/>
    <w:rsid w:val="00577B44"/>
    <w:rsid w:val="00581670"/>
    <w:rsid w:val="005835E5"/>
    <w:rsid w:val="005900FA"/>
    <w:rsid w:val="00597B67"/>
    <w:rsid w:val="005B2BD2"/>
    <w:rsid w:val="005B4D64"/>
    <w:rsid w:val="005B6056"/>
    <w:rsid w:val="005C167F"/>
    <w:rsid w:val="005D39A2"/>
    <w:rsid w:val="005E1A4E"/>
    <w:rsid w:val="005E2716"/>
    <w:rsid w:val="005E2FF4"/>
    <w:rsid w:val="005F164B"/>
    <w:rsid w:val="006034E6"/>
    <w:rsid w:val="00604D36"/>
    <w:rsid w:val="00604FEA"/>
    <w:rsid w:val="00607D38"/>
    <w:rsid w:val="00611212"/>
    <w:rsid w:val="00614636"/>
    <w:rsid w:val="00614CD6"/>
    <w:rsid w:val="00616BE7"/>
    <w:rsid w:val="00620106"/>
    <w:rsid w:val="00620C50"/>
    <w:rsid w:val="00627D6D"/>
    <w:rsid w:val="006304F5"/>
    <w:rsid w:val="00630A83"/>
    <w:rsid w:val="0063130E"/>
    <w:rsid w:val="006335BF"/>
    <w:rsid w:val="00633653"/>
    <w:rsid w:val="00643764"/>
    <w:rsid w:val="00643CCB"/>
    <w:rsid w:val="006467B6"/>
    <w:rsid w:val="00647BC3"/>
    <w:rsid w:val="00653765"/>
    <w:rsid w:val="00675AA1"/>
    <w:rsid w:val="0068212A"/>
    <w:rsid w:val="0068428F"/>
    <w:rsid w:val="00695141"/>
    <w:rsid w:val="00695DD7"/>
    <w:rsid w:val="006974A6"/>
    <w:rsid w:val="006A7E6B"/>
    <w:rsid w:val="006C0FDF"/>
    <w:rsid w:val="006C4958"/>
    <w:rsid w:val="006D27CB"/>
    <w:rsid w:val="006D7261"/>
    <w:rsid w:val="006E6B1E"/>
    <w:rsid w:val="006E7B03"/>
    <w:rsid w:val="006F3339"/>
    <w:rsid w:val="006F55F8"/>
    <w:rsid w:val="00700EF0"/>
    <w:rsid w:val="00702E04"/>
    <w:rsid w:val="007058A3"/>
    <w:rsid w:val="00706286"/>
    <w:rsid w:val="007067BF"/>
    <w:rsid w:val="007071A7"/>
    <w:rsid w:val="00710759"/>
    <w:rsid w:val="00713FD6"/>
    <w:rsid w:val="00715337"/>
    <w:rsid w:val="007171F1"/>
    <w:rsid w:val="00717739"/>
    <w:rsid w:val="00720D3E"/>
    <w:rsid w:val="00721FF2"/>
    <w:rsid w:val="00725BB5"/>
    <w:rsid w:val="0072633D"/>
    <w:rsid w:val="00734921"/>
    <w:rsid w:val="00743E4E"/>
    <w:rsid w:val="0074741F"/>
    <w:rsid w:val="0075245C"/>
    <w:rsid w:val="00753DEF"/>
    <w:rsid w:val="00755388"/>
    <w:rsid w:val="007578BB"/>
    <w:rsid w:val="00762A39"/>
    <w:rsid w:val="00762EBF"/>
    <w:rsid w:val="00764FD5"/>
    <w:rsid w:val="00765882"/>
    <w:rsid w:val="00765D87"/>
    <w:rsid w:val="00766630"/>
    <w:rsid w:val="00775A5F"/>
    <w:rsid w:val="007763DF"/>
    <w:rsid w:val="00783F2D"/>
    <w:rsid w:val="00784074"/>
    <w:rsid w:val="00785D8D"/>
    <w:rsid w:val="00785F36"/>
    <w:rsid w:val="007917EC"/>
    <w:rsid w:val="00797486"/>
    <w:rsid w:val="007A2334"/>
    <w:rsid w:val="007A388F"/>
    <w:rsid w:val="007A3BAD"/>
    <w:rsid w:val="007A4808"/>
    <w:rsid w:val="007A7E82"/>
    <w:rsid w:val="007B27A0"/>
    <w:rsid w:val="007B47CD"/>
    <w:rsid w:val="007B5F94"/>
    <w:rsid w:val="007B7156"/>
    <w:rsid w:val="007C0529"/>
    <w:rsid w:val="007C3F47"/>
    <w:rsid w:val="007C4F8E"/>
    <w:rsid w:val="007C55CC"/>
    <w:rsid w:val="007C64CB"/>
    <w:rsid w:val="007C68A9"/>
    <w:rsid w:val="007D522D"/>
    <w:rsid w:val="007E4D05"/>
    <w:rsid w:val="007F2479"/>
    <w:rsid w:val="007F345A"/>
    <w:rsid w:val="007F4A36"/>
    <w:rsid w:val="007F4BD9"/>
    <w:rsid w:val="007F4EC0"/>
    <w:rsid w:val="007F5728"/>
    <w:rsid w:val="00801B31"/>
    <w:rsid w:val="00811571"/>
    <w:rsid w:val="00813859"/>
    <w:rsid w:val="00817B91"/>
    <w:rsid w:val="00825F99"/>
    <w:rsid w:val="00831DB4"/>
    <w:rsid w:val="0083672E"/>
    <w:rsid w:val="00851E08"/>
    <w:rsid w:val="0085352A"/>
    <w:rsid w:val="00865214"/>
    <w:rsid w:val="008669FB"/>
    <w:rsid w:val="0087518A"/>
    <w:rsid w:val="00880D2F"/>
    <w:rsid w:val="00883F8A"/>
    <w:rsid w:val="00895C0D"/>
    <w:rsid w:val="008974B8"/>
    <w:rsid w:val="008A0FF4"/>
    <w:rsid w:val="008B36BA"/>
    <w:rsid w:val="008B38F0"/>
    <w:rsid w:val="008B60BD"/>
    <w:rsid w:val="008B73A1"/>
    <w:rsid w:val="008C1FA6"/>
    <w:rsid w:val="008D27C3"/>
    <w:rsid w:val="008D6D26"/>
    <w:rsid w:val="008E02C2"/>
    <w:rsid w:val="008E2698"/>
    <w:rsid w:val="008E49C9"/>
    <w:rsid w:val="008F073B"/>
    <w:rsid w:val="008F1439"/>
    <w:rsid w:val="008F51F1"/>
    <w:rsid w:val="00910B28"/>
    <w:rsid w:val="00916E33"/>
    <w:rsid w:val="00922E97"/>
    <w:rsid w:val="00925828"/>
    <w:rsid w:val="009276A5"/>
    <w:rsid w:val="00935192"/>
    <w:rsid w:val="00935522"/>
    <w:rsid w:val="009379B5"/>
    <w:rsid w:val="00942447"/>
    <w:rsid w:val="00942C59"/>
    <w:rsid w:val="00945C77"/>
    <w:rsid w:val="00947F2D"/>
    <w:rsid w:val="009505FF"/>
    <w:rsid w:val="00951231"/>
    <w:rsid w:val="00951634"/>
    <w:rsid w:val="009525DF"/>
    <w:rsid w:val="00955698"/>
    <w:rsid w:val="00957B88"/>
    <w:rsid w:val="00967CEB"/>
    <w:rsid w:val="0097100F"/>
    <w:rsid w:val="00977709"/>
    <w:rsid w:val="00987F43"/>
    <w:rsid w:val="00990E24"/>
    <w:rsid w:val="00993E68"/>
    <w:rsid w:val="009971E5"/>
    <w:rsid w:val="009A0ADC"/>
    <w:rsid w:val="009A3C84"/>
    <w:rsid w:val="009A6048"/>
    <w:rsid w:val="009B27BF"/>
    <w:rsid w:val="009B2A34"/>
    <w:rsid w:val="009B317A"/>
    <w:rsid w:val="009C2CE3"/>
    <w:rsid w:val="009C7A72"/>
    <w:rsid w:val="009D07FB"/>
    <w:rsid w:val="009D34EB"/>
    <w:rsid w:val="009D71E6"/>
    <w:rsid w:val="009E1EDF"/>
    <w:rsid w:val="009E6185"/>
    <w:rsid w:val="009F0C80"/>
    <w:rsid w:val="009F1DB6"/>
    <w:rsid w:val="00A02BCC"/>
    <w:rsid w:val="00A13790"/>
    <w:rsid w:val="00A1605B"/>
    <w:rsid w:val="00A17BA9"/>
    <w:rsid w:val="00A24447"/>
    <w:rsid w:val="00A31EC5"/>
    <w:rsid w:val="00A33543"/>
    <w:rsid w:val="00A33DF3"/>
    <w:rsid w:val="00A41752"/>
    <w:rsid w:val="00A51EEA"/>
    <w:rsid w:val="00A56E43"/>
    <w:rsid w:val="00A576B0"/>
    <w:rsid w:val="00A600C9"/>
    <w:rsid w:val="00A62E50"/>
    <w:rsid w:val="00A715CF"/>
    <w:rsid w:val="00A7209B"/>
    <w:rsid w:val="00A72380"/>
    <w:rsid w:val="00A72618"/>
    <w:rsid w:val="00A76EFE"/>
    <w:rsid w:val="00A76F85"/>
    <w:rsid w:val="00A77F5A"/>
    <w:rsid w:val="00A81412"/>
    <w:rsid w:val="00A831B5"/>
    <w:rsid w:val="00A83A67"/>
    <w:rsid w:val="00A93846"/>
    <w:rsid w:val="00AB341F"/>
    <w:rsid w:val="00AB490F"/>
    <w:rsid w:val="00AB4FC6"/>
    <w:rsid w:val="00AB5B37"/>
    <w:rsid w:val="00AB653E"/>
    <w:rsid w:val="00AC6497"/>
    <w:rsid w:val="00AD05E2"/>
    <w:rsid w:val="00AD0B02"/>
    <w:rsid w:val="00AD17CA"/>
    <w:rsid w:val="00AD2CD0"/>
    <w:rsid w:val="00AD45D8"/>
    <w:rsid w:val="00AD5A64"/>
    <w:rsid w:val="00AD6EF0"/>
    <w:rsid w:val="00AD7DF5"/>
    <w:rsid w:val="00AE2475"/>
    <w:rsid w:val="00AE669E"/>
    <w:rsid w:val="00AF11B8"/>
    <w:rsid w:val="00AF4898"/>
    <w:rsid w:val="00AF6D48"/>
    <w:rsid w:val="00B216E1"/>
    <w:rsid w:val="00B265FC"/>
    <w:rsid w:val="00B30C2E"/>
    <w:rsid w:val="00B362A4"/>
    <w:rsid w:val="00B5194D"/>
    <w:rsid w:val="00B532C0"/>
    <w:rsid w:val="00B602E9"/>
    <w:rsid w:val="00B638A3"/>
    <w:rsid w:val="00B70E46"/>
    <w:rsid w:val="00B7147F"/>
    <w:rsid w:val="00B82E67"/>
    <w:rsid w:val="00B850D2"/>
    <w:rsid w:val="00B8613A"/>
    <w:rsid w:val="00B92276"/>
    <w:rsid w:val="00B92D23"/>
    <w:rsid w:val="00B9308C"/>
    <w:rsid w:val="00BA358A"/>
    <w:rsid w:val="00BA43C6"/>
    <w:rsid w:val="00BA4856"/>
    <w:rsid w:val="00BA7A59"/>
    <w:rsid w:val="00BA7ACD"/>
    <w:rsid w:val="00BB2137"/>
    <w:rsid w:val="00BD0C9C"/>
    <w:rsid w:val="00BD5942"/>
    <w:rsid w:val="00BE10AF"/>
    <w:rsid w:val="00BE1F34"/>
    <w:rsid w:val="00BF49D7"/>
    <w:rsid w:val="00BF4F9E"/>
    <w:rsid w:val="00BF53FF"/>
    <w:rsid w:val="00BF5748"/>
    <w:rsid w:val="00C00819"/>
    <w:rsid w:val="00C103C7"/>
    <w:rsid w:val="00C14E3D"/>
    <w:rsid w:val="00C20DC6"/>
    <w:rsid w:val="00C3125C"/>
    <w:rsid w:val="00C31426"/>
    <w:rsid w:val="00C314A3"/>
    <w:rsid w:val="00C31832"/>
    <w:rsid w:val="00C41D07"/>
    <w:rsid w:val="00C45BE7"/>
    <w:rsid w:val="00C469D8"/>
    <w:rsid w:val="00C5236A"/>
    <w:rsid w:val="00C55A45"/>
    <w:rsid w:val="00C6091A"/>
    <w:rsid w:val="00C70FDC"/>
    <w:rsid w:val="00C716F4"/>
    <w:rsid w:val="00C74BD3"/>
    <w:rsid w:val="00C82A19"/>
    <w:rsid w:val="00C84E0E"/>
    <w:rsid w:val="00C877E1"/>
    <w:rsid w:val="00C9555D"/>
    <w:rsid w:val="00C955B4"/>
    <w:rsid w:val="00C95B5E"/>
    <w:rsid w:val="00C96576"/>
    <w:rsid w:val="00CA1F23"/>
    <w:rsid w:val="00CA5F1F"/>
    <w:rsid w:val="00CB69F3"/>
    <w:rsid w:val="00CB6DB4"/>
    <w:rsid w:val="00CC1E5B"/>
    <w:rsid w:val="00CC44A2"/>
    <w:rsid w:val="00CD3854"/>
    <w:rsid w:val="00CE43C3"/>
    <w:rsid w:val="00CF138C"/>
    <w:rsid w:val="00CF5032"/>
    <w:rsid w:val="00CF7554"/>
    <w:rsid w:val="00D06C11"/>
    <w:rsid w:val="00D144ED"/>
    <w:rsid w:val="00D14927"/>
    <w:rsid w:val="00D20267"/>
    <w:rsid w:val="00D21C95"/>
    <w:rsid w:val="00D25FD5"/>
    <w:rsid w:val="00D3539B"/>
    <w:rsid w:val="00D407ED"/>
    <w:rsid w:val="00D46A95"/>
    <w:rsid w:val="00D5173A"/>
    <w:rsid w:val="00D53690"/>
    <w:rsid w:val="00D609AE"/>
    <w:rsid w:val="00D6619C"/>
    <w:rsid w:val="00D670DE"/>
    <w:rsid w:val="00D72738"/>
    <w:rsid w:val="00D731FB"/>
    <w:rsid w:val="00D77E4F"/>
    <w:rsid w:val="00D83EDB"/>
    <w:rsid w:val="00D84F73"/>
    <w:rsid w:val="00D92796"/>
    <w:rsid w:val="00DA35AC"/>
    <w:rsid w:val="00DA68D0"/>
    <w:rsid w:val="00DB3583"/>
    <w:rsid w:val="00DB4C54"/>
    <w:rsid w:val="00DB52F2"/>
    <w:rsid w:val="00DB7D2F"/>
    <w:rsid w:val="00DC02BE"/>
    <w:rsid w:val="00DC254D"/>
    <w:rsid w:val="00DC6B31"/>
    <w:rsid w:val="00DD57B1"/>
    <w:rsid w:val="00DE0338"/>
    <w:rsid w:val="00DE14BC"/>
    <w:rsid w:val="00DE47BD"/>
    <w:rsid w:val="00DF2482"/>
    <w:rsid w:val="00DF2717"/>
    <w:rsid w:val="00DF31F1"/>
    <w:rsid w:val="00E00922"/>
    <w:rsid w:val="00E03BF5"/>
    <w:rsid w:val="00E04E33"/>
    <w:rsid w:val="00E1367A"/>
    <w:rsid w:val="00E13CED"/>
    <w:rsid w:val="00E1413A"/>
    <w:rsid w:val="00E14318"/>
    <w:rsid w:val="00E16B4C"/>
    <w:rsid w:val="00E1795A"/>
    <w:rsid w:val="00E21442"/>
    <w:rsid w:val="00E2772C"/>
    <w:rsid w:val="00E31189"/>
    <w:rsid w:val="00E32925"/>
    <w:rsid w:val="00E3337B"/>
    <w:rsid w:val="00E4206F"/>
    <w:rsid w:val="00E45AEF"/>
    <w:rsid w:val="00E466AA"/>
    <w:rsid w:val="00E47756"/>
    <w:rsid w:val="00E51B1A"/>
    <w:rsid w:val="00E52008"/>
    <w:rsid w:val="00E56C6D"/>
    <w:rsid w:val="00E626C8"/>
    <w:rsid w:val="00E62C92"/>
    <w:rsid w:val="00E64CCD"/>
    <w:rsid w:val="00E6564B"/>
    <w:rsid w:val="00E66B8D"/>
    <w:rsid w:val="00E84839"/>
    <w:rsid w:val="00E9080A"/>
    <w:rsid w:val="00E90F2D"/>
    <w:rsid w:val="00E91C90"/>
    <w:rsid w:val="00EA2928"/>
    <w:rsid w:val="00EA6864"/>
    <w:rsid w:val="00EB0377"/>
    <w:rsid w:val="00EB6340"/>
    <w:rsid w:val="00EB688A"/>
    <w:rsid w:val="00EC195E"/>
    <w:rsid w:val="00EC1C4E"/>
    <w:rsid w:val="00ED01BD"/>
    <w:rsid w:val="00ED2C62"/>
    <w:rsid w:val="00EE3203"/>
    <w:rsid w:val="00EE65B8"/>
    <w:rsid w:val="00EF1692"/>
    <w:rsid w:val="00EF3600"/>
    <w:rsid w:val="00EF4396"/>
    <w:rsid w:val="00EF574C"/>
    <w:rsid w:val="00F05BDA"/>
    <w:rsid w:val="00F06176"/>
    <w:rsid w:val="00F0723B"/>
    <w:rsid w:val="00F07AFC"/>
    <w:rsid w:val="00F07D94"/>
    <w:rsid w:val="00F13E32"/>
    <w:rsid w:val="00F26417"/>
    <w:rsid w:val="00F26760"/>
    <w:rsid w:val="00F33CDE"/>
    <w:rsid w:val="00F354A8"/>
    <w:rsid w:val="00F456E3"/>
    <w:rsid w:val="00F50D88"/>
    <w:rsid w:val="00F547BC"/>
    <w:rsid w:val="00F57A70"/>
    <w:rsid w:val="00F57FE2"/>
    <w:rsid w:val="00F6005F"/>
    <w:rsid w:val="00F629AA"/>
    <w:rsid w:val="00F635F7"/>
    <w:rsid w:val="00F64AE3"/>
    <w:rsid w:val="00F67F06"/>
    <w:rsid w:val="00F67F72"/>
    <w:rsid w:val="00F717A8"/>
    <w:rsid w:val="00F72575"/>
    <w:rsid w:val="00F82A5A"/>
    <w:rsid w:val="00F8301C"/>
    <w:rsid w:val="00F8692C"/>
    <w:rsid w:val="00F9345D"/>
    <w:rsid w:val="00F94DC8"/>
    <w:rsid w:val="00F967C9"/>
    <w:rsid w:val="00FA1202"/>
    <w:rsid w:val="00FA3B47"/>
    <w:rsid w:val="00FA4BB8"/>
    <w:rsid w:val="00FA7F50"/>
    <w:rsid w:val="00FB0C2D"/>
    <w:rsid w:val="00FB2927"/>
    <w:rsid w:val="00FB5457"/>
    <w:rsid w:val="00FB66B8"/>
    <w:rsid w:val="00FB6D35"/>
    <w:rsid w:val="00FC4638"/>
    <w:rsid w:val="00FC72A4"/>
    <w:rsid w:val="00FD060D"/>
    <w:rsid w:val="00FD1A17"/>
    <w:rsid w:val="00FD2DD3"/>
    <w:rsid w:val="00FD77CA"/>
    <w:rsid w:val="00FE1CA5"/>
    <w:rsid w:val="00FE694F"/>
    <w:rsid w:val="00FF0026"/>
    <w:rsid w:val="00FF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5DF"/>
  </w:style>
  <w:style w:type="paragraph" w:styleId="berschrift1">
    <w:name w:val="heading 1"/>
    <w:basedOn w:val="Standard"/>
    <w:next w:val="Standard"/>
    <w:link w:val="berschrift1Zchn"/>
    <w:uiPriority w:val="9"/>
    <w:qFormat/>
    <w:rsid w:val="00DE47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12A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5121AB"/>
    <w:pPr>
      <w:keepNext/>
      <w:widowControl w:val="0"/>
      <w:autoSpaceDE w:val="0"/>
      <w:autoSpaceDN w:val="0"/>
      <w:adjustRightInd w:val="0"/>
      <w:spacing w:before="480" w:after="120"/>
      <w:outlineLvl w:val="2"/>
    </w:pPr>
    <w:rPr>
      <w:rFonts w:eastAsia="Times New Roman"/>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9525DF"/>
    <w:pPr>
      <w:spacing w:after="60"/>
      <w:jc w:val="both"/>
    </w:pPr>
    <w:rPr>
      <w:rFonts w:ascii="Garamond" w:eastAsia="Times New Roman" w:hAnsi="Garamond"/>
    </w:rPr>
  </w:style>
  <w:style w:type="paragraph" w:customStyle="1" w:styleId="Default">
    <w:name w:val="Default"/>
    <w:rsid w:val="00F57A70"/>
    <w:pPr>
      <w:autoSpaceDE w:val="0"/>
      <w:autoSpaceDN w:val="0"/>
      <w:adjustRightInd w:val="0"/>
    </w:pPr>
    <w:rPr>
      <w:rFonts w:eastAsia="Times New Roman"/>
      <w:color w:val="000000"/>
      <w:sz w:val="24"/>
      <w:szCs w:val="24"/>
    </w:rPr>
  </w:style>
  <w:style w:type="paragraph" w:styleId="Kopfzeile">
    <w:name w:val="header"/>
    <w:basedOn w:val="Standard"/>
    <w:link w:val="KopfzeileZchn"/>
    <w:uiPriority w:val="99"/>
    <w:unhideWhenUsed/>
    <w:rsid w:val="00F57A70"/>
    <w:pPr>
      <w:tabs>
        <w:tab w:val="center" w:pos="4536"/>
        <w:tab w:val="right" w:pos="9072"/>
      </w:tabs>
    </w:pPr>
  </w:style>
  <w:style w:type="character" w:customStyle="1" w:styleId="KopfzeileZchn">
    <w:name w:val="Kopfzeile Zchn"/>
    <w:link w:val="Kopfzeile"/>
    <w:uiPriority w:val="99"/>
    <w:rsid w:val="00F57A70"/>
    <w:rPr>
      <w:sz w:val="22"/>
    </w:rPr>
  </w:style>
  <w:style w:type="paragraph" w:styleId="Fuzeile">
    <w:name w:val="footer"/>
    <w:basedOn w:val="Standard"/>
    <w:link w:val="FuzeileZchn"/>
    <w:uiPriority w:val="99"/>
    <w:unhideWhenUsed/>
    <w:rsid w:val="00F57A70"/>
    <w:pPr>
      <w:tabs>
        <w:tab w:val="center" w:pos="4536"/>
        <w:tab w:val="right" w:pos="9072"/>
      </w:tabs>
    </w:pPr>
  </w:style>
  <w:style w:type="character" w:customStyle="1" w:styleId="FuzeileZchn">
    <w:name w:val="Fußzeile Zchn"/>
    <w:link w:val="Fuzeile"/>
    <w:uiPriority w:val="99"/>
    <w:rsid w:val="00F57A70"/>
    <w:rPr>
      <w:sz w:val="22"/>
    </w:rPr>
  </w:style>
  <w:style w:type="table" w:styleId="Tabellenraster">
    <w:name w:val="Table Grid"/>
    <w:basedOn w:val="NormaleTabelle"/>
    <w:rsid w:val="006F55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hngend15zg">
    <w:name w:val="Einzug hängend 1.5zg"/>
    <w:basedOn w:val="Standard"/>
    <w:rsid w:val="006F55F8"/>
    <w:pPr>
      <w:spacing w:line="360" w:lineRule="auto"/>
      <w:ind w:left="737" w:hanging="737"/>
    </w:pPr>
    <w:rPr>
      <w:rFonts w:ascii="Frutiger Light" w:eastAsia="Times New Roman" w:hAnsi="Frutiger Light"/>
      <w:sz w:val="24"/>
    </w:rPr>
  </w:style>
  <w:style w:type="paragraph" w:styleId="Sprechblasentext">
    <w:name w:val="Balloon Text"/>
    <w:basedOn w:val="Standard"/>
    <w:link w:val="SprechblasentextZchn"/>
    <w:uiPriority w:val="99"/>
    <w:semiHidden/>
    <w:unhideWhenUsed/>
    <w:rsid w:val="00D46A95"/>
    <w:rPr>
      <w:rFonts w:ascii="Tahoma" w:hAnsi="Tahoma" w:cs="Tahoma"/>
      <w:sz w:val="16"/>
      <w:szCs w:val="16"/>
    </w:rPr>
  </w:style>
  <w:style w:type="character" w:customStyle="1" w:styleId="SprechblasentextZchn">
    <w:name w:val="Sprechblasentext Zchn"/>
    <w:link w:val="Sprechblasentext"/>
    <w:uiPriority w:val="99"/>
    <w:semiHidden/>
    <w:rsid w:val="00D46A95"/>
    <w:rPr>
      <w:rFonts w:ascii="Tahoma" w:hAnsi="Tahoma" w:cs="Tahoma"/>
      <w:sz w:val="16"/>
      <w:szCs w:val="16"/>
    </w:rPr>
  </w:style>
  <w:style w:type="character" w:customStyle="1" w:styleId="berschrift3Zchn">
    <w:name w:val="Überschrift 3 Zchn"/>
    <w:basedOn w:val="Absatz-Standardschriftart"/>
    <w:link w:val="berschrift3"/>
    <w:rsid w:val="005121AB"/>
    <w:rPr>
      <w:rFonts w:eastAsia="Times New Roman" w:cs="Arial"/>
      <w:b/>
      <w:bCs/>
      <w:sz w:val="24"/>
      <w:szCs w:val="26"/>
    </w:rPr>
  </w:style>
  <w:style w:type="character" w:customStyle="1" w:styleId="berschrift1Zchn">
    <w:name w:val="Überschrift 1 Zchn"/>
    <w:basedOn w:val="Absatz-Standardschriftart"/>
    <w:link w:val="berschrift1"/>
    <w:uiPriority w:val="9"/>
    <w:rsid w:val="00DE47BD"/>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E10AF"/>
    <w:pPr>
      <w:ind w:left="720"/>
      <w:contextualSpacing/>
    </w:pPr>
  </w:style>
  <w:style w:type="character" w:styleId="Zeilennummer">
    <w:name w:val="line number"/>
    <w:basedOn w:val="Absatz-Standardschriftart"/>
    <w:uiPriority w:val="99"/>
    <w:semiHidden/>
    <w:unhideWhenUsed/>
    <w:rsid w:val="00643CCB"/>
  </w:style>
  <w:style w:type="paragraph" w:customStyle="1" w:styleId="Formatvorlage1">
    <w:name w:val="Formatvorlage1"/>
    <w:basedOn w:val="Textkrper"/>
    <w:link w:val="Formatvorlage1Zchn"/>
    <w:rsid w:val="008669FB"/>
    <w:pPr>
      <w:spacing w:after="60"/>
      <w:ind w:firstLine="357"/>
      <w:jc w:val="both"/>
    </w:pPr>
    <w:rPr>
      <w:rFonts w:ascii="Garamond" w:eastAsia="Times New Roman" w:hAnsi="Garamond"/>
    </w:rPr>
  </w:style>
  <w:style w:type="character" w:customStyle="1" w:styleId="Formatvorlage1Zchn">
    <w:name w:val="Formatvorlage1 Zchn"/>
    <w:basedOn w:val="Absatz-Standardschriftart"/>
    <w:link w:val="Formatvorlage1"/>
    <w:rsid w:val="008669FB"/>
    <w:rPr>
      <w:rFonts w:ascii="Garamond" w:eastAsia="Times New Roman" w:hAnsi="Garamond"/>
      <w:sz w:val="22"/>
    </w:rPr>
  </w:style>
  <w:style w:type="paragraph" w:styleId="Textkrper">
    <w:name w:val="Body Text"/>
    <w:basedOn w:val="Standard"/>
    <w:link w:val="TextkrperZchn"/>
    <w:uiPriority w:val="99"/>
    <w:semiHidden/>
    <w:unhideWhenUsed/>
    <w:rsid w:val="008669FB"/>
    <w:pPr>
      <w:spacing w:after="120"/>
    </w:pPr>
  </w:style>
  <w:style w:type="character" w:customStyle="1" w:styleId="TextkrperZchn">
    <w:name w:val="Textkörper Zchn"/>
    <w:basedOn w:val="Absatz-Standardschriftart"/>
    <w:link w:val="Textkrper"/>
    <w:uiPriority w:val="99"/>
    <w:semiHidden/>
    <w:rsid w:val="008669FB"/>
    <w:rPr>
      <w:sz w:val="22"/>
    </w:rPr>
  </w:style>
  <w:style w:type="paragraph" w:customStyle="1" w:styleId="Formatvorlage12ptLinks125cm">
    <w:name w:val="Formatvorlage 12 pt Links:  125 cm"/>
    <w:basedOn w:val="Standard"/>
    <w:rsid w:val="002B0A1B"/>
    <w:pPr>
      <w:widowControl w:val="0"/>
      <w:spacing w:after="120"/>
      <w:ind w:left="709"/>
      <w:jc w:val="both"/>
    </w:pPr>
    <w:rPr>
      <w:rFonts w:eastAsia="Times New Roman"/>
    </w:rPr>
  </w:style>
  <w:style w:type="character" w:customStyle="1" w:styleId="berschrift2Zchn">
    <w:name w:val="Überschrift 2 Zchn"/>
    <w:basedOn w:val="Absatz-Standardschriftart"/>
    <w:link w:val="berschrift2"/>
    <w:uiPriority w:val="9"/>
    <w:rsid w:val="00312A91"/>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E13CED"/>
    <w:rPr>
      <w:sz w:val="16"/>
      <w:szCs w:val="16"/>
    </w:rPr>
  </w:style>
  <w:style w:type="paragraph" w:styleId="Kommentartext">
    <w:name w:val="annotation text"/>
    <w:basedOn w:val="Standard"/>
    <w:link w:val="KommentartextZchn"/>
    <w:uiPriority w:val="99"/>
    <w:semiHidden/>
    <w:unhideWhenUsed/>
    <w:rsid w:val="00E13CED"/>
  </w:style>
  <w:style w:type="character" w:customStyle="1" w:styleId="KommentartextZchn">
    <w:name w:val="Kommentartext Zchn"/>
    <w:basedOn w:val="Absatz-Standardschriftart"/>
    <w:link w:val="Kommentartext"/>
    <w:uiPriority w:val="99"/>
    <w:semiHidden/>
    <w:rsid w:val="00E13CED"/>
  </w:style>
  <w:style w:type="paragraph" w:styleId="Kommentarthema">
    <w:name w:val="annotation subject"/>
    <w:basedOn w:val="Kommentartext"/>
    <w:next w:val="Kommentartext"/>
    <w:link w:val="KommentarthemaZchn"/>
    <w:uiPriority w:val="99"/>
    <w:semiHidden/>
    <w:unhideWhenUsed/>
    <w:rsid w:val="00E13CED"/>
    <w:rPr>
      <w:b/>
      <w:bCs/>
    </w:rPr>
  </w:style>
  <w:style w:type="character" w:customStyle="1" w:styleId="KommentarthemaZchn">
    <w:name w:val="Kommentarthema Zchn"/>
    <w:basedOn w:val="KommentartextZchn"/>
    <w:link w:val="Kommentarthema"/>
    <w:uiPriority w:val="99"/>
    <w:semiHidden/>
    <w:rsid w:val="00E13CED"/>
    <w:rPr>
      <w:b/>
      <w:bCs/>
    </w:rPr>
  </w:style>
  <w:style w:type="paragraph" w:styleId="KeinLeerraum">
    <w:name w:val="No Spacing"/>
    <w:uiPriority w:val="1"/>
    <w:qFormat/>
    <w:rsid w:val="002006DA"/>
    <w:rPr>
      <w:szCs w:val="20"/>
    </w:rPr>
  </w:style>
  <w:style w:type="paragraph" w:styleId="Aufzhlungszeichen">
    <w:name w:val="List Bullet"/>
    <w:basedOn w:val="Liste"/>
    <w:rsid w:val="007917EC"/>
    <w:pPr>
      <w:numPr>
        <w:numId w:val="12"/>
      </w:numPr>
      <w:tabs>
        <w:tab w:val="clear" w:pos="1080"/>
        <w:tab w:val="num" w:pos="360"/>
      </w:tabs>
      <w:ind w:left="283" w:hanging="283"/>
      <w:contextualSpacing w:val="0"/>
      <w:jc w:val="both"/>
    </w:pPr>
    <w:rPr>
      <w:rFonts w:ascii="Garamond" w:eastAsia="Times New Roman" w:hAnsi="Garamond" w:cs="Times New Roman"/>
      <w:sz w:val="22"/>
      <w:szCs w:val="20"/>
    </w:rPr>
  </w:style>
  <w:style w:type="paragraph" w:customStyle="1" w:styleId="Anlafge2">
    <w:name w:val="Anlafge_Ü2"/>
    <w:basedOn w:val="berschrift2"/>
    <w:rsid w:val="007917EC"/>
    <w:pPr>
      <w:spacing w:before="480" w:after="180"/>
      <w:ind w:left="714" w:hanging="357"/>
    </w:pPr>
    <w:rPr>
      <w:rFonts w:ascii="Garamond" w:eastAsia="Times New Roman" w:hAnsi="Garamond" w:cs="Times New Roman"/>
      <w:color w:val="000000"/>
      <w:spacing w:val="10"/>
      <w:kern w:val="20"/>
      <w:sz w:val="22"/>
      <w:szCs w:val="20"/>
    </w:rPr>
  </w:style>
  <w:style w:type="paragraph" w:styleId="Liste">
    <w:name w:val="List"/>
    <w:basedOn w:val="Standard"/>
    <w:uiPriority w:val="99"/>
    <w:semiHidden/>
    <w:unhideWhenUsed/>
    <w:rsid w:val="007917EC"/>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5DF"/>
  </w:style>
  <w:style w:type="paragraph" w:styleId="berschrift1">
    <w:name w:val="heading 1"/>
    <w:basedOn w:val="Standard"/>
    <w:next w:val="Standard"/>
    <w:link w:val="berschrift1Zchn"/>
    <w:uiPriority w:val="9"/>
    <w:qFormat/>
    <w:rsid w:val="00DE47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12A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5121AB"/>
    <w:pPr>
      <w:keepNext/>
      <w:widowControl w:val="0"/>
      <w:autoSpaceDE w:val="0"/>
      <w:autoSpaceDN w:val="0"/>
      <w:adjustRightInd w:val="0"/>
      <w:spacing w:before="480" w:after="120"/>
      <w:outlineLvl w:val="2"/>
    </w:pPr>
    <w:rPr>
      <w:rFonts w:eastAsia="Times New Roman"/>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9525DF"/>
    <w:pPr>
      <w:spacing w:after="60"/>
      <w:jc w:val="both"/>
    </w:pPr>
    <w:rPr>
      <w:rFonts w:ascii="Garamond" w:eastAsia="Times New Roman" w:hAnsi="Garamond"/>
    </w:rPr>
  </w:style>
  <w:style w:type="paragraph" w:customStyle="1" w:styleId="Default">
    <w:name w:val="Default"/>
    <w:rsid w:val="00F57A70"/>
    <w:pPr>
      <w:autoSpaceDE w:val="0"/>
      <w:autoSpaceDN w:val="0"/>
      <w:adjustRightInd w:val="0"/>
    </w:pPr>
    <w:rPr>
      <w:rFonts w:eastAsia="Times New Roman"/>
      <w:color w:val="000000"/>
      <w:sz w:val="24"/>
      <w:szCs w:val="24"/>
    </w:rPr>
  </w:style>
  <w:style w:type="paragraph" w:styleId="Kopfzeile">
    <w:name w:val="header"/>
    <w:basedOn w:val="Standard"/>
    <w:link w:val="KopfzeileZchn"/>
    <w:uiPriority w:val="99"/>
    <w:unhideWhenUsed/>
    <w:rsid w:val="00F57A70"/>
    <w:pPr>
      <w:tabs>
        <w:tab w:val="center" w:pos="4536"/>
        <w:tab w:val="right" w:pos="9072"/>
      </w:tabs>
    </w:pPr>
  </w:style>
  <w:style w:type="character" w:customStyle="1" w:styleId="KopfzeileZchn">
    <w:name w:val="Kopfzeile Zchn"/>
    <w:link w:val="Kopfzeile"/>
    <w:uiPriority w:val="99"/>
    <w:rsid w:val="00F57A70"/>
    <w:rPr>
      <w:sz w:val="22"/>
    </w:rPr>
  </w:style>
  <w:style w:type="paragraph" w:styleId="Fuzeile">
    <w:name w:val="footer"/>
    <w:basedOn w:val="Standard"/>
    <w:link w:val="FuzeileZchn"/>
    <w:uiPriority w:val="99"/>
    <w:unhideWhenUsed/>
    <w:rsid w:val="00F57A70"/>
    <w:pPr>
      <w:tabs>
        <w:tab w:val="center" w:pos="4536"/>
        <w:tab w:val="right" w:pos="9072"/>
      </w:tabs>
    </w:pPr>
  </w:style>
  <w:style w:type="character" w:customStyle="1" w:styleId="FuzeileZchn">
    <w:name w:val="Fußzeile Zchn"/>
    <w:link w:val="Fuzeile"/>
    <w:uiPriority w:val="99"/>
    <w:rsid w:val="00F57A70"/>
    <w:rPr>
      <w:sz w:val="22"/>
    </w:rPr>
  </w:style>
  <w:style w:type="table" w:styleId="Tabellenraster">
    <w:name w:val="Table Grid"/>
    <w:basedOn w:val="NormaleTabelle"/>
    <w:rsid w:val="006F55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hngend15zg">
    <w:name w:val="Einzug hängend 1.5zg"/>
    <w:basedOn w:val="Standard"/>
    <w:rsid w:val="006F55F8"/>
    <w:pPr>
      <w:spacing w:line="360" w:lineRule="auto"/>
      <w:ind w:left="737" w:hanging="737"/>
    </w:pPr>
    <w:rPr>
      <w:rFonts w:ascii="Frutiger Light" w:eastAsia="Times New Roman" w:hAnsi="Frutiger Light"/>
      <w:sz w:val="24"/>
    </w:rPr>
  </w:style>
  <w:style w:type="paragraph" w:styleId="Sprechblasentext">
    <w:name w:val="Balloon Text"/>
    <w:basedOn w:val="Standard"/>
    <w:link w:val="SprechblasentextZchn"/>
    <w:uiPriority w:val="99"/>
    <w:semiHidden/>
    <w:unhideWhenUsed/>
    <w:rsid w:val="00D46A95"/>
    <w:rPr>
      <w:rFonts w:ascii="Tahoma" w:hAnsi="Tahoma" w:cs="Tahoma"/>
      <w:sz w:val="16"/>
      <w:szCs w:val="16"/>
    </w:rPr>
  </w:style>
  <w:style w:type="character" w:customStyle="1" w:styleId="SprechblasentextZchn">
    <w:name w:val="Sprechblasentext Zchn"/>
    <w:link w:val="Sprechblasentext"/>
    <w:uiPriority w:val="99"/>
    <w:semiHidden/>
    <w:rsid w:val="00D46A95"/>
    <w:rPr>
      <w:rFonts w:ascii="Tahoma" w:hAnsi="Tahoma" w:cs="Tahoma"/>
      <w:sz w:val="16"/>
      <w:szCs w:val="16"/>
    </w:rPr>
  </w:style>
  <w:style w:type="character" w:customStyle="1" w:styleId="berschrift3Zchn">
    <w:name w:val="Überschrift 3 Zchn"/>
    <w:basedOn w:val="Absatz-Standardschriftart"/>
    <w:link w:val="berschrift3"/>
    <w:rsid w:val="005121AB"/>
    <w:rPr>
      <w:rFonts w:eastAsia="Times New Roman" w:cs="Arial"/>
      <w:b/>
      <w:bCs/>
      <w:sz w:val="24"/>
      <w:szCs w:val="26"/>
    </w:rPr>
  </w:style>
  <w:style w:type="character" w:customStyle="1" w:styleId="berschrift1Zchn">
    <w:name w:val="Überschrift 1 Zchn"/>
    <w:basedOn w:val="Absatz-Standardschriftart"/>
    <w:link w:val="berschrift1"/>
    <w:uiPriority w:val="9"/>
    <w:rsid w:val="00DE47BD"/>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E10AF"/>
    <w:pPr>
      <w:ind w:left="720"/>
      <w:contextualSpacing/>
    </w:pPr>
  </w:style>
  <w:style w:type="character" w:styleId="Zeilennummer">
    <w:name w:val="line number"/>
    <w:basedOn w:val="Absatz-Standardschriftart"/>
    <w:uiPriority w:val="99"/>
    <w:semiHidden/>
    <w:unhideWhenUsed/>
    <w:rsid w:val="00643CCB"/>
  </w:style>
  <w:style w:type="paragraph" w:customStyle="1" w:styleId="Formatvorlage1">
    <w:name w:val="Formatvorlage1"/>
    <w:basedOn w:val="Textkrper"/>
    <w:link w:val="Formatvorlage1Zchn"/>
    <w:rsid w:val="008669FB"/>
    <w:pPr>
      <w:spacing w:after="60"/>
      <w:ind w:firstLine="357"/>
      <w:jc w:val="both"/>
    </w:pPr>
    <w:rPr>
      <w:rFonts w:ascii="Garamond" w:eastAsia="Times New Roman" w:hAnsi="Garamond"/>
    </w:rPr>
  </w:style>
  <w:style w:type="character" w:customStyle="1" w:styleId="Formatvorlage1Zchn">
    <w:name w:val="Formatvorlage1 Zchn"/>
    <w:basedOn w:val="Absatz-Standardschriftart"/>
    <w:link w:val="Formatvorlage1"/>
    <w:rsid w:val="008669FB"/>
    <w:rPr>
      <w:rFonts w:ascii="Garamond" w:eastAsia="Times New Roman" w:hAnsi="Garamond"/>
      <w:sz w:val="22"/>
    </w:rPr>
  </w:style>
  <w:style w:type="paragraph" w:styleId="Textkrper">
    <w:name w:val="Body Text"/>
    <w:basedOn w:val="Standard"/>
    <w:link w:val="TextkrperZchn"/>
    <w:uiPriority w:val="99"/>
    <w:semiHidden/>
    <w:unhideWhenUsed/>
    <w:rsid w:val="008669FB"/>
    <w:pPr>
      <w:spacing w:after="120"/>
    </w:pPr>
  </w:style>
  <w:style w:type="character" w:customStyle="1" w:styleId="TextkrperZchn">
    <w:name w:val="Textkörper Zchn"/>
    <w:basedOn w:val="Absatz-Standardschriftart"/>
    <w:link w:val="Textkrper"/>
    <w:uiPriority w:val="99"/>
    <w:semiHidden/>
    <w:rsid w:val="008669FB"/>
    <w:rPr>
      <w:sz w:val="22"/>
    </w:rPr>
  </w:style>
  <w:style w:type="paragraph" w:customStyle="1" w:styleId="Formatvorlage12ptLinks125cm">
    <w:name w:val="Formatvorlage 12 pt Links:  125 cm"/>
    <w:basedOn w:val="Standard"/>
    <w:rsid w:val="002B0A1B"/>
    <w:pPr>
      <w:widowControl w:val="0"/>
      <w:spacing w:after="120"/>
      <w:ind w:left="709"/>
      <w:jc w:val="both"/>
    </w:pPr>
    <w:rPr>
      <w:rFonts w:eastAsia="Times New Roman"/>
    </w:rPr>
  </w:style>
  <w:style w:type="character" w:customStyle="1" w:styleId="berschrift2Zchn">
    <w:name w:val="Überschrift 2 Zchn"/>
    <w:basedOn w:val="Absatz-Standardschriftart"/>
    <w:link w:val="berschrift2"/>
    <w:uiPriority w:val="9"/>
    <w:rsid w:val="00312A91"/>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E13CED"/>
    <w:rPr>
      <w:sz w:val="16"/>
      <w:szCs w:val="16"/>
    </w:rPr>
  </w:style>
  <w:style w:type="paragraph" w:styleId="Kommentartext">
    <w:name w:val="annotation text"/>
    <w:basedOn w:val="Standard"/>
    <w:link w:val="KommentartextZchn"/>
    <w:uiPriority w:val="99"/>
    <w:semiHidden/>
    <w:unhideWhenUsed/>
    <w:rsid w:val="00E13CED"/>
  </w:style>
  <w:style w:type="character" w:customStyle="1" w:styleId="KommentartextZchn">
    <w:name w:val="Kommentartext Zchn"/>
    <w:basedOn w:val="Absatz-Standardschriftart"/>
    <w:link w:val="Kommentartext"/>
    <w:uiPriority w:val="99"/>
    <w:semiHidden/>
    <w:rsid w:val="00E13CED"/>
  </w:style>
  <w:style w:type="paragraph" w:styleId="Kommentarthema">
    <w:name w:val="annotation subject"/>
    <w:basedOn w:val="Kommentartext"/>
    <w:next w:val="Kommentartext"/>
    <w:link w:val="KommentarthemaZchn"/>
    <w:uiPriority w:val="99"/>
    <w:semiHidden/>
    <w:unhideWhenUsed/>
    <w:rsid w:val="00E13CED"/>
    <w:rPr>
      <w:b/>
      <w:bCs/>
    </w:rPr>
  </w:style>
  <w:style w:type="character" w:customStyle="1" w:styleId="KommentarthemaZchn">
    <w:name w:val="Kommentarthema Zchn"/>
    <w:basedOn w:val="KommentartextZchn"/>
    <w:link w:val="Kommentarthema"/>
    <w:uiPriority w:val="99"/>
    <w:semiHidden/>
    <w:rsid w:val="00E13CED"/>
    <w:rPr>
      <w:b/>
      <w:bCs/>
    </w:rPr>
  </w:style>
  <w:style w:type="paragraph" w:styleId="KeinLeerraum">
    <w:name w:val="No Spacing"/>
    <w:uiPriority w:val="1"/>
    <w:qFormat/>
    <w:rsid w:val="002006DA"/>
    <w:rPr>
      <w:szCs w:val="20"/>
    </w:rPr>
  </w:style>
  <w:style w:type="paragraph" w:styleId="Aufzhlungszeichen">
    <w:name w:val="List Bullet"/>
    <w:basedOn w:val="Liste"/>
    <w:rsid w:val="007917EC"/>
    <w:pPr>
      <w:numPr>
        <w:numId w:val="12"/>
      </w:numPr>
      <w:tabs>
        <w:tab w:val="clear" w:pos="1080"/>
        <w:tab w:val="num" w:pos="360"/>
      </w:tabs>
      <w:ind w:left="283" w:hanging="283"/>
      <w:contextualSpacing w:val="0"/>
      <w:jc w:val="both"/>
    </w:pPr>
    <w:rPr>
      <w:rFonts w:ascii="Garamond" w:eastAsia="Times New Roman" w:hAnsi="Garamond" w:cs="Times New Roman"/>
      <w:sz w:val="22"/>
      <w:szCs w:val="20"/>
    </w:rPr>
  </w:style>
  <w:style w:type="paragraph" w:customStyle="1" w:styleId="Anlafge2">
    <w:name w:val="Anlafge_Ü2"/>
    <w:basedOn w:val="berschrift2"/>
    <w:rsid w:val="007917EC"/>
    <w:pPr>
      <w:spacing w:before="480" w:after="180"/>
      <w:ind w:left="714" w:hanging="357"/>
    </w:pPr>
    <w:rPr>
      <w:rFonts w:ascii="Garamond" w:eastAsia="Times New Roman" w:hAnsi="Garamond" w:cs="Times New Roman"/>
      <w:color w:val="000000"/>
      <w:spacing w:val="10"/>
      <w:kern w:val="20"/>
      <w:sz w:val="22"/>
      <w:szCs w:val="20"/>
    </w:rPr>
  </w:style>
  <w:style w:type="paragraph" w:styleId="Liste">
    <w:name w:val="List"/>
    <w:basedOn w:val="Standard"/>
    <w:uiPriority w:val="99"/>
    <w:semiHidden/>
    <w:unhideWhenUsed/>
    <w:rsid w:val="007917E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976">
      <w:bodyDiv w:val="1"/>
      <w:marLeft w:val="0"/>
      <w:marRight w:val="0"/>
      <w:marTop w:val="0"/>
      <w:marBottom w:val="0"/>
      <w:divBdr>
        <w:top w:val="none" w:sz="0" w:space="0" w:color="auto"/>
        <w:left w:val="none" w:sz="0" w:space="0" w:color="auto"/>
        <w:bottom w:val="none" w:sz="0" w:space="0" w:color="auto"/>
        <w:right w:val="none" w:sz="0" w:space="0" w:color="auto"/>
      </w:divBdr>
    </w:div>
    <w:div w:id="5398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1CBF-AB7D-4673-AC0C-6711789D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5512</Words>
  <Characters>34732</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MW</Company>
  <LinksUpToDate>false</LinksUpToDate>
  <CharactersWithSpaces>40164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Winkelmann, Horst</dc:creator>
  <cp:lastModifiedBy>Hönsch, Alexander</cp:lastModifiedBy>
  <cp:revision>3</cp:revision>
  <cp:lastPrinted>2014-11-25T06:13:00Z</cp:lastPrinted>
  <dcterms:created xsi:type="dcterms:W3CDTF">2015-01-19T15:46:00Z</dcterms:created>
  <dcterms:modified xsi:type="dcterms:W3CDTF">2015-01-19T21:01:00Z</dcterms:modified>
</cp:coreProperties>
</file>